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13/10/2019      TO       19/10/2019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Aaron O’Dea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This week I worked on the start of the project code setting up class and files and a system which can run and control all of these features, I also worked more on outlining what kind of variables I should include in my project and outlining what variables might be a pro but also a con. Also research some equations I might have to include in my project.</w:t>
            </w:r>
          </w:p>
        </w:tc>
      </w:tr>
    </w:tbl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continued to read more research papers </w:t>
                  </w:r>
                </w:p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refined the variables and worked on if the variables I have defined should be included. and if not why.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created a skeleton structure for the project with a running SFML window and classes.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2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5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PVMh/jNiAnTd1GXkXP3H3I4Vaw==">AMUW2mUEE6UVO7OoElvB7AfWvyiOdoF8OA3sYiqGfBbx9timgc5AywgUe938d39FftQ/9ScPlJ7Ua67TCH2hZdZ9eN9LODsFijXq7NyDIS3XO1YQ2RAloxh3guirY4BRAlfAybbs9FfZ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