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7894" w14:textId="77777777" w:rsidR="00D153C8" w:rsidRDefault="00D153C8" w:rsidP="00D153C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203E91D2" w14:textId="77777777" w:rsidR="00D153C8" w:rsidRPr="007C4343" w:rsidRDefault="00D153C8" w:rsidP="00D153C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lang w:val="es-HN"/>
        </w:rPr>
      </w:pPr>
      <w:r w:rsidRPr="007C4343">
        <w:rPr>
          <w:rFonts w:ascii="Times New Roman" w:eastAsia="Times New Roman" w:hAnsi="Times New Roman" w:cs="Times New Roman"/>
          <w:b/>
          <w:lang w:val="es-HN"/>
        </w:rPr>
        <w:t>UNIVERSIDAD CATÓLICA DE HONDURAS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42DFD71" wp14:editId="6360B748">
            <wp:simplePos x="0" y="0"/>
            <wp:positionH relativeFrom="column">
              <wp:posOffset>-581024</wp:posOffset>
            </wp:positionH>
            <wp:positionV relativeFrom="paragraph">
              <wp:posOffset>114300</wp:posOffset>
            </wp:positionV>
            <wp:extent cx="1696875" cy="160069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9626" t="21402" r="17940" b="19544"/>
                    <a:stretch>
                      <a:fillRect/>
                    </a:stretch>
                  </pic:blipFill>
                  <pic:spPr>
                    <a:xfrm>
                      <a:off x="0" y="0"/>
                      <a:ext cx="1696875" cy="1600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6CE6C7" w14:textId="77777777" w:rsidR="00D153C8" w:rsidRPr="007C4343" w:rsidRDefault="00D153C8" w:rsidP="00D153C8">
      <w:pPr>
        <w:spacing w:before="240" w:after="240"/>
        <w:jc w:val="center"/>
        <w:rPr>
          <w:rFonts w:ascii="Times New Roman" w:eastAsia="Times New Roman" w:hAnsi="Times New Roman" w:cs="Times New Roman"/>
          <w:b/>
          <w:lang w:val="es-HN"/>
        </w:rPr>
      </w:pPr>
      <w:r w:rsidRPr="007C4343">
        <w:rPr>
          <w:rFonts w:ascii="Times New Roman" w:eastAsia="Times New Roman" w:hAnsi="Times New Roman" w:cs="Times New Roman"/>
          <w:b/>
          <w:lang w:val="es-HN"/>
        </w:rPr>
        <w:t>“NUESTRA SEÑORA REINA DE LA PAZ”</w:t>
      </w:r>
    </w:p>
    <w:p w14:paraId="3BDE30B1" w14:textId="77777777" w:rsidR="00D153C8" w:rsidRPr="007C4343" w:rsidRDefault="00D153C8" w:rsidP="00D153C8">
      <w:pPr>
        <w:spacing w:before="240" w:after="240"/>
        <w:jc w:val="center"/>
        <w:rPr>
          <w:rFonts w:ascii="Times New Roman" w:eastAsia="Times New Roman" w:hAnsi="Times New Roman" w:cs="Times New Roman"/>
          <w:b/>
          <w:lang w:val="es-HN"/>
        </w:rPr>
      </w:pPr>
    </w:p>
    <w:p w14:paraId="55FECC51" w14:textId="77777777" w:rsidR="00D153C8" w:rsidRPr="007C4343" w:rsidRDefault="00D153C8" w:rsidP="00D153C8">
      <w:pPr>
        <w:spacing w:before="240" w:after="240"/>
        <w:jc w:val="center"/>
        <w:rPr>
          <w:rFonts w:ascii="Times New Roman" w:eastAsia="Times New Roman" w:hAnsi="Times New Roman" w:cs="Times New Roman"/>
          <w:b/>
          <w:lang w:val="es-HN"/>
        </w:rPr>
      </w:pPr>
    </w:p>
    <w:p w14:paraId="2AF12D59" w14:textId="77777777" w:rsidR="00D153C8" w:rsidRPr="007C4343" w:rsidRDefault="00D153C8" w:rsidP="00D153C8">
      <w:pPr>
        <w:spacing w:before="240" w:after="240"/>
        <w:jc w:val="center"/>
        <w:rPr>
          <w:rFonts w:ascii="Times New Roman" w:eastAsia="Times New Roman" w:hAnsi="Times New Roman" w:cs="Times New Roman"/>
          <w:b/>
          <w:lang w:val="es-HN"/>
        </w:rPr>
      </w:pPr>
      <w:r w:rsidRPr="007C4343">
        <w:rPr>
          <w:rFonts w:ascii="Times New Roman" w:eastAsia="Times New Roman" w:hAnsi="Times New Roman" w:cs="Times New Roman"/>
          <w:b/>
          <w:lang w:val="es-HN"/>
        </w:rPr>
        <w:t xml:space="preserve"> DOCENTE:</w:t>
      </w:r>
    </w:p>
    <w:p w14:paraId="016574B8" w14:textId="77777777" w:rsidR="00D153C8" w:rsidRPr="007C4343" w:rsidRDefault="00D153C8" w:rsidP="00D153C8">
      <w:pPr>
        <w:spacing w:before="240" w:after="240"/>
        <w:jc w:val="center"/>
        <w:rPr>
          <w:rFonts w:ascii="Times New Roman" w:eastAsia="Times New Roman" w:hAnsi="Times New Roman" w:cs="Times New Roman"/>
          <w:lang w:val="es-HN"/>
        </w:rPr>
      </w:pPr>
      <w:r w:rsidRPr="007C4343">
        <w:rPr>
          <w:rFonts w:ascii="Times New Roman" w:eastAsia="Times New Roman" w:hAnsi="Times New Roman" w:cs="Times New Roman"/>
          <w:lang w:val="es-HN"/>
        </w:rPr>
        <w:t>Ing.</w:t>
      </w:r>
      <w:r w:rsidRPr="007C4343">
        <w:rPr>
          <w:rFonts w:ascii="Times New Roman" w:eastAsia="Times New Roman" w:hAnsi="Times New Roman" w:cs="Times New Roman"/>
          <w:lang w:val="es-HN" w:eastAsia="es-HN"/>
        </w:rPr>
        <w:t xml:space="preserve"> </w:t>
      </w:r>
      <w:r w:rsidRPr="007C4343">
        <w:rPr>
          <w:rFonts w:ascii="Times New Roman" w:eastAsia="Times New Roman" w:hAnsi="Times New Roman" w:cs="Times New Roman"/>
          <w:lang w:val="es-HN"/>
        </w:rPr>
        <w:t>OSCAR DANIEL ANDRARE SUAZO</w:t>
      </w:r>
    </w:p>
    <w:p w14:paraId="2C3B71F7" w14:textId="77777777" w:rsidR="00D153C8" w:rsidRPr="007C4343" w:rsidRDefault="00D153C8" w:rsidP="00D153C8">
      <w:pPr>
        <w:spacing w:before="240" w:after="240"/>
        <w:rPr>
          <w:rFonts w:ascii="Times New Roman" w:eastAsia="Times New Roman" w:hAnsi="Times New Roman" w:cs="Times New Roman"/>
          <w:lang w:val="es-HN"/>
        </w:rPr>
      </w:pPr>
      <w:r w:rsidRPr="007C4343">
        <w:rPr>
          <w:rFonts w:ascii="Times New Roman" w:eastAsia="Times New Roman" w:hAnsi="Times New Roman" w:cs="Times New Roman"/>
          <w:lang w:val="es-HN"/>
        </w:rPr>
        <w:t xml:space="preserve">                                            </w:t>
      </w:r>
    </w:p>
    <w:p w14:paraId="7F8FD044" w14:textId="77777777" w:rsidR="00D153C8" w:rsidRPr="007C4343" w:rsidRDefault="00D153C8" w:rsidP="00D153C8">
      <w:pPr>
        <w:spacing w:before="240" w:after="240"/>
        <w:jc w:val="center"/>
        <w:rPr>
          <w:rFonts w:ascii="Times New Roman" w:eastAsia="Times New Roman" w:hAnsi="Times New Roman" w:cs="Times New Roman"/>
          <w:b/>
          <w:lang w:val="es-HN"/>
        </w:rPr>
      </w:pPr>
      <w:r w:rsidRPr="007C4343">
        <w:rPr>
          <w:rFonts w:ascii="Times New Roman" w:eastAsia="Times New Roman" w:hAnsi="Times New Roman" w:cs="Times New Roman"/>
          <w:b/>
          <w:lang w:val="es-HN"/>
        </w:rPr>
        <w:t>PRESENTADO POR:</w:t>
      </w:r>
    </w:p>
    <w:p w14:paraId="4B35CD9B" w14:textId="77777777" w:rsidR="00D153C8" w:rsidRPr="007C4343" w:rsidRDefault="00D153C8" w:rsidP="00D153C8">
      <w:pPr>
        <w:spacing w:before="240" w:after="240"/>
        <w:jc w:val="center"/>
        <w:rPr>
          <w:rFonts w:ascii="Times New Roman" w:eastAsia="Times New Roman" w:hAnsi="Times New Roman" w:cs="Times New Roman"/>
          <w:lang w:val="es-HN"/>
        </w:rPr>
      </w:pPr>
      <w:r w:rsidRPr="007C4343">
        <w:rPr>
          <w:rFonts w:ascii="Times New Roman" w:eastAsia="Times New Roman" w:hAnsi="Times New Roman" w:cs="Times New Roman"/>
          <w:lang w:val="es-HN"/>
        </w:rPr>
        <w:t xml:space="preserve">Isaac Aaron Reyes Osorio </w:t>
      </w:r>
      <w:proofErr w:type="gramStart"/>
      <w:r w:rsidRPr="007C4343">
        <w:rPr>
          <w:rFonts w:ascii="Times New Roman" w:eastAsia="Times New Roman" w:hAnsi="Times New Roman" w:cs="Times New Roman"/>
          <w:lang w:val="es-HN"/>
        </w:rPr>
        <w:t>( 0801199921975</w:t>
      </w:r>
      <w:proofErr w:type="gramEnd"/>
      <w:r w:rsidRPr="007C4343">
        <w:rPr>
          <w:rFonts w:ascii="Times New Roman" w:eastAsia="Times New Roman" w:hAnsi="Times New Roman" w:cs="Times New Roman"/>
          <w:lang w:val="es-HN"/>
        </w:rPr>
        <w:t>)</w:t>
      </w:r>
    </w:p>
    <w:p w14:paraId="6A1D9024" w14:textId="77777777" w:rsidR="00D153C8" w:rsidRPr="007C4343" w:rsidRDefault="00D153C8" w:rsidP="00D153C8">
      <w:pPr>
        <w:spacing w:before="240" w:after="240"/>
        <w:rPr>
          <w:rFonts w:ascii="Times New Roman" w:eastAsia="Times New Roman" w:hAnsi="Times New Roman" w:cs="Times New Roman"/>
          <w:b/>
          <w:lang w:val="es-HN"/>
        </w:rPr>
      </w:pPr>
    </w:p>
    <w:p w14:paraId="0B2FB74F" w14:textId="77777777" w:rsidR="00D153C8" w:rsidRPr="007C4343" w:rsidRDefault="00D153C8" w:rsidP="00D153C8">
      <w:pPr>
        <w:spacing w:before="240" w:after="240"/>
        <w:jc w:val="center"/>
        <w:rPr>
          <w:rFonts w:ascii="Times New Roman" w:eastAsia="Times New Roman" w:hAnsi="Times New Roman" w:cs="Times New Roman"/>
          <w:b/>
          <w:lang w:val="es-HN"/>
        </w:rPr>
      </w:pPr>
      <w:r w:rsidRPr="007C4343">
        <w:rPr>
          <w:rFonts w:ascii="Times New Roman" w:eastAsia="Times New Roman" w:hAnsi="Times New Roman" w:cs="Times New Roman"/>
          <w:b/>
          <w:lang w:val="es-HN"/>
        </w:rPr>
        <w:t>ASIGNACIÓN:</w:t>
      </w:r>
    </w:p>
    <w:p w14:paraId="4097F956" w14:textId="77777777" w:rsidR="00D153C8" w:rsidRPr="007C4343" w:rsidRDefault="00D153C8" w:rsidP="00D153C8">
      <w:pPr>
        <w:spacing w:before="240" w:after="240"/>
        <w:jc w:val="center"/>
        <w:rPr>
          <w:rFonts w:ascii="Times New Roman" w:eastAsia="Times New Roman" w:hAnsi="Times New Roman" w:cs="Times New Roman"/>
          <w:b/>
          <w:lang w:val="es-HN"/>
        </w:rPr>
      </w:pPr>
      <w:r>
        <w:rPr>
          <w:rFonts w:ascii="Times New Roman" w:eastAsia="Times New Roman" w:hAnsi="Times New Roman" w:cs="Times New Roman"/>
          <w:lang w:val="es-HN"/>
        </w:rPr>
        <w:t>Certificaciones</w:t>
      </w:r>
    </w:p>
    <w:p w14:paraId="21453575" w14:textId="77777777" w:rsidR="00D153C8" w:rsidRPr="007C4343" w:rsidRDefault="00D153C8" w:rsidP="00D153C8">
      <w:pPr>
        <w:spacing w:before="240" w:after="240"/>
        <w:jc w:val="center"/>
        <w:rPr>
          <w:rFonts w:ascii="Times New Roman" w:eastAsia="Times New Roman" w:hAnsi="Times New Roman" w:cs="Times New Roman"/>
          <w:b/>
          <w:lang w:val="es-HN"/>
        </w:rPr>
      </w:pPr>
      <w:r w:rsidRPr="007C4343">
        <w:rPr>
          <w:rFonts w:ascii="Times New Roman" w:eastAsia="Times New Roman" w:hAnsi="Times New Roman" w:cs="Times New Roman"/>
          <w:b/>
          <w:lang w:val="es-HN"/>
        </w:rPr>
        <w:t>CLASE:</w:t>
      </w:r>
    </w:p>
    <w:p w14:paraId="77207B7A" w14:textId="77777777" w:rsidR="00D153C8" w:rsidRPr="007C4343" w:rsidRDefault="00D153C8" w:rsidP="00D153C8">
      <w:pPr>
        <w:spacing w:before="240" w:after="240"/>
        <w:jc w:val="center"/>
        <w:rPr>
          <w:rFonts w:ascii="Times New Roman" w:eastAsia="Times New Roman" w:hAnsi="Times New Roman" w:cs="Times New Roman"/>
          <w:lang w:val="es-HN"/>
        </w:rPr>
      </w:pPr>
      <w:r w:rsidRPr="007C4343">
        <w:rPr>
          <w:rFonts w:ascii="Times New Roman" w:eastAsia="Times New Roman" w:hAnsi="Times New Roman" w:cs="Times New Roman"/>
          <w:lang w:val="es-HN"/>
        </w:rPr>
        <w:t>Seminario de hardware y electricidad 1701</w:t>
      </w:r>
    </w:p>
    <w:p w14:paraId="427577EC" w14:textId="77777777" w:rsidR="00D153C8" w:rsidRPr="00D153C8" w:rsidRDefault="00D153C8">
      <w:pPr>
        <w:pStyle w:val="Ttulo"/>
        <w:rPr>
          <w:lang w:val="es-HN"/>
        </w:rPr>
      </w:pPr>
    </w:p>
    <w:p w14:paraId="06F1C163" w14:textId="77777777" w:rsidR="00D153C8" w:rsidRPr="00D153C8" w:rsidRDefault="00D153C8">
      <w:pPr>
        <w:pStyle w:val="Ttulo"/>
        <w:rPr>
          <w:lang w:val="es-HN"/>
        </w:rPr>
      </w:pPr>
    </w:p>
    <w:p w14:paraId="786612DC" w14:textId="77777777" w:rsidR="00D153C8" w:rsidRPr="00D153C8" w:rsidRDefault="00D153C8">
      <w:pPr>
        <w:pStyle w:val="Ttulo"/>
        <w:rPr>
          <w:lang w:val="es-HN"/>
        </w:rPr>
      </w:pPr>
    </w:p>
    <w:p w14:paraId="1BB5BD65" w14:textId="77777777" w:rsidR="00D153C8" w:rsidRPr="00D153C8" w:rsidRDefault="00D153C8">
      <w:pPr>
        <w:pStyle w:val="Ttulo"/>
        <w:rPr>
          <w:lang w:val="es-HN"/>
        </w:rPr>
      </w:pPr>
    </w:p>
    <w:p w14:paraId="0B83F460" w14:textId="77777777" w:rsidR="00D153C8" w:rsidRPr="00D153C8" w:rsidRDefault="00D153C8">
      <w:pPr>
        <w:pStyle w:val="Ttulo"/>
        <w:rPr>
          <w:lang w:val="es-HN"/>
        </w:rPr>
      </w:pPr>
    </w:p>
    <w:p w14:paraId="7DF63DB4" w14:textId="77777777" w:rsidR="00D153C8" w:rsidRPr="00D153C8" w:rsidRDefault="00D153C8">
      <w:pPr>
        <w:pStyle w:val="Ttulo"/>
        <w:rPr>
          <w:lang w:val="es-HN"/>
        </w:rPr>
      </w:pPr>
    </w:p>
    <w:p w14:paraId="750812F6" w14:textId="1E3BD002" w:rsidR="00D153C8" w:rsidRDefault="00D153C8" w:rsidP="00D153C8">
      <w:pPr>
        <w:pStyle w:val="Ttulo"/>
        <w:tabs>
          <w:tab w:val="left" w:pos="6684"/>
          <w:tab w:val="right" w:pos="8640"/>
        </w:tabs>
        <w:rPr>
          <w:lang w:val="es-HN"/>
        </w:rPr>
      </w:pPr>
    </w:p>
    <w:p w14:paraId="26B46022" w14:textId="77777777" w:rsidR="00D153C8" w:rsidRPr="00D153C8" w:rsidRDefault="00D153C8" w:rsidP="00D153C8">
      <w:pPr>
        <w:rPr>
          <w:rFonts w:ascii="Times New Roman" w:hAnsi="Times New Roman" w:cs="Times New Roman"/>
          <w:color w:val="000000" w:themeColor="text1"/>
          <w:lang w:val="es-HN"/>
        </w:rPr>
      </w:pPr>
    </w:p>
    <w:p w14:paraId="47F91F80" w14:textId="77777777" w:rsidR="00D153C8" w:rsidRPr="00D153C8" w:rsidRDefault="00D153C8" w:rsidP="00D153C8">
      <w:pPr>
        <w:rPr>
          <w:rFonts w:ascii="Times New Roman" w:hAnsi="Times New Roman" w:cs="Times New Roman"/>
          <w:color w:val="000000" w:themeColor="text1"/>
          <w:lang w:val="es-HN"/>
        </w:rPr>
      </w:pPr>
    </w:p>
    <w:p w14:paraId="464C5B92" w14:textId="77777777" w:rsidR="00D153C8" w:rsidRPr="00D153C8" w:rsidRDefault="00D153C8" w:rsidP="00D153C8">
      <w:pPr>
        <w:rPr>
          <w:rFonts w:ascii="Times New Roman" w:hAnsi="Times New Roman" w:cs="Times New Roman"/>
          <w:color w:val="000000" w:themeColor="text1"/>
          <w:lang w:val="es-HN"/>
        </w:rPr>
      </w:pPr>
    </w:p>
    <w:p w14:paraId="14E68A46" w14:textId="77777777" w:rsidR="00D153C8" w:rsidRPr="00D153C8" w:rsidRDefault="00D153C8" w:rsidP="00D153C8">
      <w:pPr>
        <w:rPr>
          <w:rFonts w:ascii="Times New Roman" w:hAnsi="Times New Roman" w:cs="Times New Roman"/>
          <w:color w:val="000000" w:themeColor="text1"/>
          <w:lang w:val="es-HN"/>
        </w:rPr>
      </w:pPr>
    </w:p>
    <w:p w14:paraId="2F867379" w14:textId="35AD51AF" w:rsidR="00EE5A7C" w:rsidRPr="00D153C8" w:rsidRDefault="00000000" w:rsidP="00D153C8">
      <w:pPr>
        <w:pStyle w:val="Ttulo"/>
        <w:pBdr>
          <w:bottom w:val="none" w:sz="0" w:space="0" w:color="auto"/>
        </w:pBdr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t>Certificaciones de Data Centers</w:t>
      </w:r>
    </w:p>
    <w:p w14:paraId="5408C185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t>En la actualidad, los centros de datos o Data Centers son el pilar fundamental del ecosistema digital. Estas instalaciones permiten a empresas, gobiernos y usuarios almacenar, procesar y distribuir información de forma eficiente y segura. En un mundo cada vez más interconectado, donde el volumen de datos crece exponencialmente, los Data Centers deben cumplir con exigencias técnicas, operativas, de seguridad y medioambientales para garantizar un rendimiento óptimo.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Debido a la criticidad de estos entornos, han surgido diversas certificaciones que buscan validar el cumplimiento de estándares internacionales. Estas certificaciones abarcan diferentes dimensiones: infraestructura física, seguridad de la información, y eficiencia energética o sostenibilidad ambiental. En este documento se presentan las principales certificaciones utilizadas en la industria, explicando su significado, finalidad, niveles de clasificación y criterios de evaluación.</w:t>
      </w:r>
    </w:p>
    <w:p w14:paraId="6EF4FFFA" w14:textId="77777777" w:rsidR="00EE5A7C" w:rsidRPr="00D153C8" w:rsidRDefault="00000000" w:rsidP="00D153C8">
      <w:pPr>
        <w:pStyle w:val="Ttulo1"/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t>1. Certificaciones de Infraestructura</w:t>
      </w:r>
    </w:p>
    <w:p w14:paraId="480D12E7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t>Las certificaciones de infraestructura tienen como objetivo asegurar que el diseño, construcción y operación de un centro de datos cumplen con altos estándares técnicos. Estas certificaciones evalúan aspectos como redundancia, resiliencia, disponibilidad, escalabilidad y capacidad de mantenimiento sin afectar los servicios.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</w:r>
    </w:p>
    <w:p w14:paraId="389B1623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•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Uptime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Institute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(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Tiers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I - IV):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 xml:space="preserve">Esta es una de las certificaciones más reconocidas a nivel mundial. Fue desarrollada por el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Uptime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Institute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y clasifica los centros de datos en cuatro niveles (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Tier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I a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Tier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IV) de acuerdo a su disponibilidad y tolerancia a fallos: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 xml:space="preserve">-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Tier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I: Infraestructura básica, sin redundancia.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 xml:space="preserve">-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Tier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II: Componentes redundantes para algunos sistemas.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 xml:space="preserve">-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Tier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III: Soporta mantenimiento concurrente, con redundancia completa.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 xml:space="preserve">-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Tier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IV: Tolerancia a fallas total, incluso en caso de interrupciones múltiples.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La certificación puede otorgarse en tres modalidades: diseño, construcción y operación continua.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</w:r>
    </w:p>
    <w:p w14:paraId="30AD1DF9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t>• ANSI/TIA-942: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 xml:space="preserve">Estándar desarrollado por la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Telecommunications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Industry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Association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. Proporciona lineamientos 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lastRenderedPageBreak/>
        <w:t>para la planificación, diseño y construcción de centros de datos, abordando aspectos como: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- Diseño físico y arquitectónico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- Redundancia de energía y enfriamiento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- Conectividad de red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- Seguridad física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 xml:space="preserve">Clasifica en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Rated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1 a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Rated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4, equivalentes a los niveles de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Uptime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Institute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>, pero con un enfoque más técnico y amplio.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</w:r>
    </w:p>
    <w:p w14:paraId="7C63AA73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t>• BICSI 002: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Es una guía internacionalmente aceptada que proporciona mejores prácticas para el diseño y operación de Data Centers. Abarca desde temas estructurales y eléctricos hasta cableado, climatización y sostenibilidad. Aunque no se clasifica en niveles, sugiere lineamientos y recomendaciones para distintos tamaños y tipos de centros de datos.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</w:r>
    </w:p>
    <w:p w14:paraId="168F0B8B" w14:textId="77777777" w:rsidR="00EE5A7C" w:rsidRPr="00D153C8" w:rsidRDefault="00000000" w:rsidP="00D153C8">
      <w:pPr>
        <w:pStyle w:val="Ttulo1"/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t>2. Certificaciones de Seguridad</w:t>
      </w:r>
    </w:p>
    <w:p w14:paraId="08BAA073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t>La seguridad de la información es fundamental en cualquier centro de datos, ya que estos albergan datos sensibles de empresas, instituciones y usuarios. Las certificaciones de seguridad validan que existen políticas, procesos y controles efectivos para proteger la confidencialidad, integridad y disponibilidad de la información.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</w:r>
    </w:p>
    <w:p w14:paraId="7AAA2428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t>• ISO/IEC 27001: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Es el estándar internacional para la gestión de la seguridad de la información (SGSI). Define un marco para identificar, evaluar y tratar riesgos relacionados con los datos. La certificación demuestra que el centro tiene controles efectivos implementados y en mejora continua. Incluye procesos de auditoría interna y externa.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</w:r>
    </w:p>
    <w:p w14:paraId="6C39FE33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t>• SOC 1, SOC 2, SOC 3: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 xml:space="preserve">Emitidas por auditores certificados bajo los estándares del AICPA (American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Institute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of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Certified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Public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Accountants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>). - SOC 1: Enfocado en controles relacionados con los estados financieros.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- SOC 2: Evalúa cinco principios de confianza: seguridad, disponibilidad, integridad del procesamiento, confidencialidad y privacidad.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- SOC 3: Similar al SOC 2, pero con un informe más general y público.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</w:r>
    </w:p>
    <w:p w14:paraId="07D9EB7C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</w:rPr>
        <w:t>• PCI DSS:</w:t>
      </w:r>
      <w:r w:rsidRPr="00D153C8">
        <w:rPr>
          <w:rFonts w:ascii="Times New Roman" w:hAnsi="Times New Roman" w:cs="Times New Roman"/>
          <w:color w:val="000000" w:themeColor="text1"/>
        </w:rPr>
        <w:br/>
        <w:t xml:space="preserve">Payment Card Industry Data Security Standard. 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t>Requiere que las empresas que procesan datos de tarjetas de pago cumplan con una serie de controles técnicos y operativos. Tiene 12 requerimientos principales divididos en 6 objetivos, incluyendo protección de datos almacenados, cifrado, monitoreo y pruebas regulares.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</w:r>
    </w:p>
    <w:p w14:paraId="4E2B9863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lastRenderedPageBreak/>
        <w:t>• FISMA / NIST SP 800-53: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Obligatorio para agencias gubernamentales de Estados Unidos, este marco normativo establece controles rigurosos de ciberseguridad, incluyendo la protección contra accesos no autorizados, monitoreo continuo y respuesta ante incidentes.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</w:r>
    </w:p>
    <w:p w14:paraId="7981EB79" w14:textId="77777777" w:rsidR="00EE5A7C" w:rsidRPr="00D153C8" w:rsidRDefault="00000000" w:rsidP="00D153C8">
      <w:pPr>
        <w:pStyle w:val="Ttulo1"/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t>3. Certificaciones de Sostenibilidad y Eficiencia Energética</w:t>
      </w:r>
    </w:p>
    <w:p w14:paraId="0833752D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t>Dado el alto consumo energético de los Data Centers, existen certificaciones que promueven prácticas sostenibles, uso eficiente de recursos y reducción del impacto ambiental. Estas acreditaciones son cada vez más importantes en el contexto de cambio climático y responsabilidad corporativa.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</w:r>
    </w:p>
    <w:p w14:paraId="3922E856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</w:rPr>
        <w:t>• LEED:</w:t>
      </w:r>
      <w:r w:rsidRPr="00D153C8">
        <w:rPr>
          <w:rFonts w:ascii="Times New Roman" w:hAnsi="Times New Roman" w:cs="Times New Roman"/>
          <w:color w:val="000000" w:themeColor="text1"/>
        </w:rPr>
        <w:br/>
        <w:t xml:space="preserve">Leadership in Energy and Environmental Design. 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Es una certificación otorgada por el US Green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Building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Council. Evalúa la sostenibilidad en diseño, construcción y operación de edificios. Clasifica en: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- Certificado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- Plata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- Oro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- Platino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Se basa en criterios como eficiencia energética, manejo de residuos, uso de materiales sostenibles, y calidad ambiental interior.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</w:r>
    </w:p>
    <w:p w14:paraId="0B37EC6F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• Energy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Star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>: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Programa del gobierno de EE. UU. que certifica que un edificio o sistema consume menos energía que otros similares. En centros de datos, evalúa PUE (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Power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Usage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 </w:t>
      </w:r>
      <w:proofErr w:type="spellStart"/>
      <w:r w:rsidRPr="00D153C8">
        <w:rPr>
          <w:rFonts w:ascii="Times New Roman" w:hAnsi="Times New Roman" w:cs="Times New Roman"/>
          <w:color w:val="000000" w:themeColor="text1"/>
          <w:lang w:val="es-HN"/>
        </w:rPr>
        <w:t>Effectiveness</w:t>
      </w:r>
      <w:proofErr w:type="spellEnd"/>
      <w:r w:rsidRPr="00D153C8">
        <w:rPr>
          <w:rFonts w:ascii="Times New Roman" w:hAnsi="Times New Roman" w:cs="Times New Roman"/>
          <w:color w:val="000000" w:themeColor="text1"/>
          <w:lang w:val="es-HN"/>
        </w:rPr>
        <w:t>), uso eficiente de sistemas de refrigeración, y gestión energética.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</w:r>
    </w:p>
    <w:p w14:paraId="7B7612D8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t>• ISO 50001: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Norma internacional que proporciona una estructura para establecer, implementar y mantener un sistema de gestión de energía. Busca mejorar de forma continua el desempeño energético, reducir costos y minimizar emisiones de gases de efecto invernadero.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</w:r>
    </w:p>
    <w:p w14:paraId="7BBDF555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</w:rPr>
      </w:pPr>
      <w:r w:rsidRPr="00D153C8">
        <w:rPr>
          <w:rFonts w:ascii="Times New Roman" w:hAnsi="Times New Roman" w:cs="Times New Roman"/>
          <w:color w:val="000000" w:themeColor="text1"/>
        </w:rPr>
        <w:t>• CEEDA:</w:t>
      </w:r>
      <w:r w:rsidRPr="00D153C8">
        <w:rPr>
          <w:rFonts w:ascii="Times New Roman" w:hAnsi="Times New Roman" w:cs="Times New Roman"/>
          <w:color w:val="000000" w:themeColor="text1"/>
        </w:rPr>
        <w:br/>
        <w:t xml:space="preserve">Certified Energy Efficient Datacenter Award. 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t xml:space="preserve">Específica para centros de datos, esta certificación independiente evalúa el uso eficiente de energía, enfocándose en prácticas operativas reales y no solo en diseño. </w:t>
      </w:r>
      <w:proofErr w:type="spellStart"/>
      <w:r w:rsidRPr="00D153C8">
        <w:rPr>
          <w:rFonts w:ascii="Times New Roman" w:hAnsi="Times New Roman" w:cs="Times New Roman"/>
          <w:color w:val="000000" w:themeColor="text1"/>
        </w:rPr>
        <w:t>Clasifica</w:t>
      </w:r>
      <w:proofErr w:type="spellEnd"/>
      <w:r w:rsidRPr="00D153C8">
        <w:rPr>
          <w:rFonts w:ascii="Times New Roman" w:hAnsi="Times New Roman" w:cs="Times New Roman"/>
          <w:color w:val="000000" w:themeColor="text1"/>
        </w:rPr>
        <w:t xml:space="preserve"> en Bronce, Plata y Oro.</w:t>
      </w:r>
      <w:r w:rsidRPr="00D153C8">
        <w:rPr>
          <w:rFonts w:ascii="Times New Roman" w:hAnsi="Times New Roman" w:cs="Times New Roman"/>
          <w:color w:val="000000" w:themeColor="text1"/>
        </w:rPr>
        <w:br/>
      </w:r>
    </w:p>
    <w:p w14:paraId="4179AA4D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</w:rPr>
      </w:pPr>
      <w:r w:rsidRPr="00D153C8">
        <w:rPr>
          <w:rFonts w:ascii="Times New Roman" w:hAnsi="Times New Roman" w:cs="Times New Roman"/>
          <w:color w:val="000000" w:themeColor="text1"/>
        </w:rPr>
        <w:br w:type="page"/>
      </w:r>
    </w:p>
    <w:p w14:paraId="73871F84" w14:textId="77777777" w:rsidR="00EE5A7C" w:rsidRPr="00D153C8" w:rsidRDefault="00000000" w:rsidP="00D153C8">
      <w:pPr>
        <w:pStyle w:val="Ttulo1"/>
        <w:rPr>
          <w:rFonts w:ascii="Times New Roman" w:hAnsi="Times New Roman" w:cs="Times New Roman"/>
          <w:color w:val="000000" w:themeColor="text1"/>
        </w:rPr>
      </w:pPr>
      <w:r w:rsidRPr="00D153C8">
        <w:rPr>
          <w:rFonts w:ascii="Times New Roman" w:hAnsi="Times New Roman" w:cs="Times New Roman"/>
          <w:color w:val="000000" w:themeColor="text1"/>
        </w:rPr>
        <w:lastRenderedPageBreak/>
        <w:t>4. Cuadro Comparativo de Certificaciones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1566"/>
        <w:gridCol w:w="1615"/>
        <w:gridCol w:w="2110"/>
        <w:gridCol w:w="1707"/>
      </w:tblGrid>
      <w:tr w:rsidR="00D153C8" w:rsidRPr="00D153C8" w14:paraId="52417253" w14:textId="77777777">
        <w:tc>
          <w:tcPr>
            <w:tcW w:w="1728" w:type="dxa"/>
          </w:tcPr>
          <w:p w14:paraId="21D0F91A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Tipo de Certificación</w:t>
            </w:r>
          </w:p>
        </w:tc>
        <w:tc>
          <w:tcPr>
            <w:tcW w:w="1728" w:type="dxa"/>
          </w:tcPr>
          <w:p w14:paraId="68F10E85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Certificación</w:t>
            </w:r>
          </w:p>
        </w:tc>
        <w:tc>
          <w:tcPr>
            <w:tcW w:w="1728" w:type="dxa"/>
          </w:tcPr>
          <w:p w14:paraId="02C6E760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Significado</w:t>
            </w:r>
          </w:p>
        </w:tc>
        <w:tc>
          <w:tcPr>
            <w:tcW w:w="1728" w:type="dxa"/>
          </w:tcPr>
          <w:p w14:paraId="23A7064C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Clasificación/Niveles</w:t>
            </w:r>
          </w:p>
        </w:tc>
        <w:tc>
          <w:tcPr>
            <w:tcW w:w="1728" w:type="dxa"/>
          </w:tcPr>
          <w:p w14:paraId="59A962D5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Finalidad</w:t>
            </w:r>
          </w:p>
        </w:tc>
      </w:tr>
      <w:tr w:rsidR="00D153C8" w:rsidRPr="00D153C8" w14:paraId="03563C2E" w14:textId="77777777">
        <w:tc>
          <w:tcPr>
            <w:tcW w:w="1728" w:type="dxa"/>
          </w:tcPr>
          <w:p w14:paraId="33CBB80A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153C8">
              <w:rPr>
                <w:rFonts w:ascii="Times New Roman" w:hAnsi="Times New Roman" w:cs="Times New Roman"/>
                <w:color w:val="000000" w:themeColor="text1"/>
              </w:rPr>
              <w:t>Infraestructura</w:t>
            </w:r>
            <w:proofErr w:type="spellEnd"/>
          </w:p>
        </w:tc>
        <w:tc>
          <w:tcPr>
            <w:tcW w:w="1728" w:type="dxa"/>
          </w:tcPr>
          <w:p w14:paraId="296021F7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Uptime Institute Tiers</w:t>
            </w:r>
          </w:p>
        </w:tc>
        <w:tc>
          <w:tcPr>
            <w:tcW w:w="1728" w:type="dxa"/>
          </w:tcPr>
          <w:p w14:paraId="6803BB66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  <w:lang w:val="es-HN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  <w:lang w:val="es-HN"/>
              </w:rPr>
              <w:t>Clasificación de disponibilidad del centro de datos</w:t>
            </w:r>
          </w:p>
        </w:tc>
        <w:tc>
          <w:tcPr>
            <w:tcW w:w="1728" w:type="dxa"/>
          </w:tcPr>
          <w:p w14:paraId="72391A82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 xml:space="preserve">Tier I </w:t>
            </w:r>
            <w:proofErr w:type="gramStart"/>
            <w:r w:rsidRPr="00D153C8">
              <w:rPr>
                <w:rFonts w:ascii="Times New Roman" w:hAnsi="Times New Roman" w:cs="Times New Roman"/>
                <w:color w:val="000000" w:themeColor="text1"/>
              </w:rPr>
              <w:t>a</w:t>
            </w:r>
            <w:proofErr w:type="gramEnd"/>
            <w:r w:rsidRPr="00D153C8">
              <w:rPr>
                <w:rFonts w:ascii="Times New Roman" w:hAnsi="Times New Roman" w:cs="Times New Roman"/>
                <w:color w:val="000000" w:themeColor="text1"/>
              </w:rPr>
              <w:t xml:space="preserve"> Tier IV</w:t>
            </w:r>
          </w:p>
        </w:tc>
        <w:tc>
          <w:tcPr>
            <w:tcW w:w="1728" w:type="dxa"/>
          </w:tcPr>
          <w:p w14:paraId="13BAE0FE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  <w:lang w:val="es-HN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  <w:lang w:val="es-HN"/>
              </w:rPr>
              <w:t>Garantizar niveles de redundancia y disponibilidad</w:t>
            </w:r>
          </w:p>
        </w:tc>
      </w:tr>
      <w:tr w:rsidR="00D153C8" w:rsidRPr="00D153C8" w14:paraId="4B753859" w14:textId="77777777">
        <w:tc>
          <w:tcPr>
            <w:tcW w:w="1728" w:type="dxa"/>
          </w:tcPr>
          <w:p w14:paraId="1E4F6444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153C8">
              <w:rPr>
                <w:rFonts w:ascii="Times New Roman" w:hAnsi="Times New Roman" w:cs="Times New Roman"/>
                <w:color w:val="000000" w:themeColor="text1"/>
              </w:rPr>
              <w:t>Infraestructura</w:t>
            </w:r>
            <w:proofErr w:type="spellEnd"/>
          </w:p>
        </w:tc>
        <w:tc>
          <w:tcPr>
            <w:tcW w:w="1728" w:type="dxa"/>
          </w:tcPr>
          <w:p w14:paraId="66C636FA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ANSI/TIA-942</w:t>
            </w:r>
          </w:p>
        </w:tc>
        <w:tc>
          <w:tcPr>
            <w:tcW w:w="1728" w:type="dxa"/>
          </w:tcPr>
          <w:p w14:paraId="5D381073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  <w:lang w:val="es-HN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  <w:lang w:val="es-HN"/>
              </w:rPr>
              <w:t>Norma técnica para diseño y operación</w:t>
            </w:r>
          </w:p>
        </w:tc>
        <w:tc>
          <w:tcPr>
            <w:tcW w:w="1728" w:type="dxa"/>
          </w:tcPr>
          <w:p w14:paraId="4ADC00BD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Rated 1 a 4</w:t>
            </w:r>
          </w:p>
        </w:tc>
        <w:tc>
          <w:tcPr>
            <w:tcW w:w="1728" w:type="dxa"/>
          </w:tcPr>
          <w:p w14:paraId="75154140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  <w:lang w:val="es-HN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  <w:lang w:val="es-HN"/>
              </w:rPr>
              <w:t>Establece estándares en diseño, construcción y seguridad</w:t>
            </w:r>
          </w:p>
        </w:tc>
      </w:tr>
      <w:tr w:rsidR="00D153C8" w:rsidRPr="00D153C8" w14:paraId="445D52EB" w14:textId="77777777">
        <w:tc>
          <w:tcPr>
            <w:tcW w:w="1728" w:type="dxa"/>
          </w:tcPr>
          <w:p w14:paraId="6AFF9129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153C8">
              <w:rPr>
                <w:rFonts w:ascii="Times New Roman" w:hAnsi="Times New Roman" w:cs="Times New Roman"/>
                <w:color w:val="000000" w:themeColor="text1"/>
              </w:rPr>
              <w:t>Infraestructura</w:t>
            </w:r>
            <w:proofErr w:type="spellEnd"/>
          </w:p>
        </w:tc>
        <w:tc>
          <w:tcPr>
            <w:tcW w:w="1728" w:type="dxa"/>
          </w:tcPr>
          <w:p w14:paraId="6970C223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BICSI 002</w:t>
            </w:r>
          </w:p>
        </w:tc>
        <w:tc>
          <w:tcPr>
            <w:tcW w:w="1728" w:type="dxa"/>
          </w:tcPr>
          <w:p w14:paraId="25D49674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Guía de mejores prácticas</w:t>
            </w:r>
          </w:p>
        </w:tc>
        <w:tc>
          <w:tcPr>
            <w:tcW w:w="1728" w:type="dxa"/>
          </w:tcPr>
          <w:p w14:paraId="679C9C88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No aplica</w:t>
            </w:r>
          </w:p>
        </w:tc>
        <w:tc>
          <w:tcPr>
            <w:tcW w:w="1728" w:type="dxa"/>
          </w:tcPr>
          <w:p w14:paraId="7E2DF6AD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Diseño eficiente y escalable</w:t>
            </w:r>
          </w:p>
        </w:tc>
      </w:tr>
      <w:tr w:rsidR="00D153C8" w:rsidRPr="00D153C8" w14:paraId="7B2DBCBB" w14:textId="77777777">
        <w:tc>
          <w:tcPr>
            <w:tcW w:w="1728" w:type="dxa"/>
          </w:tcPr>
          <w:p w14:paraId="4B42D5D1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153C8">
              <w:rPr>
                <w:rFonts w:ascii="Times New Roman" w:hAnsi="Times New Roman" w:cs="Times New Roman"/>
                <w:color w:val="000000" w:themeColor="text1"/>
              </w:rPr>
              <w:t>Seguridad</w:t>
            </w:r>
            <w:proofErr w:type="spellEnd"/>
          </w:p>
        </w:tc>
        <w:tc>
          <w:tcPr>
            <w:tcW w:w="1728" w:type="dxa"/>
          </w:tcPr>
          <w:p w14:paraId="5E118199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ISO/IEC 27001</w:t>
            </w:r>
          </w:p>
        </w:tc>
        <w:tc>
          <w:tcPr>
            <w:tcW w:w="1728" w:type="dxa"/>
          </w:tcPr>
          <w:p w14:paraId="60A5C025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  <w:lang w:val="es-HN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  <w:lang w:val="es-HN"/>
              </w:rPr>
              <w:t>Gestión de seguridad de la información</w:t>
            </w:r>
          </w:p>
        </w:tc>
        <w:tc>
          <w:tcPr>
            <w:tcW w:w="1728" w:type="dxa"/>
          </w:tcPr>
          <w:p w14:paraId="51C9250E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  <w:proofErr w:type="spellStart"/>
            <w:r w:rsidRPr="00D153C8">
              <w:rPr>
                <w:rFonts w:ascii="Times New Roman" w:hAnsi="Times New Roman" w:cs="Times New Roman"/>
                <w:color w:val="000000" w:themeColor="text1"/>
              </w:rPr>
              <w:t>aplica</w:t>
            </w:r>
            <w:proofErr w:type="spellEnd"/>
          </w:p>
        </w:tc>
        <w:tc>
          <w:tcPr>
            <w:tcW w:w="1728" w:type="dxa"/>
          </w:tcPr>
          <w:p w14:paraId="2C9F6D38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  <w:lang w:val="es-HN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  <w:lang w:val="es-HN"/>
              </w:rPr>
              <w:t>Proteger confidencialidad e integridad de los datos</w:t>
            </w:r>
          </w:p>
        </w:tc>
      </w:tr>
      <w:tr w:rsidR="00D153C8" w:rsidRPr="00D153C8" w14:paraId="00921CAF" w14:textId="77777777">
        <w:tc>
          <w:tcPr>
            <w:tcW w:w="1728" w:type="dxa"/>
          </w:tcPr>
          <w:p w14:paraId="24AE4566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153C8">
              <w:rPr>
                <w:rFonts w:ascii="Times New Roman" w:hAnsi="Times New Roman" w:cs="Times New Roman"/>
                <w:color w:val="000000" w:themeColor="text1"/>
              </w:rPr>
              <w:t>Seguridad</w:t>
            </w:r>
            <w:proofErr w:type="spellEnd"/>
          </w:p>
        </w:tc>
        <w:tc>
          <w:tcPr>
            <w:tcW w:w="1728" w:type="dxa"/>
          </w:tcPr>
          <w:p w14:paraId="4CA93072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SOC 1, 2, 3</w:t>
            </w:r>
          </w:p>
        </w:tc>
        <w:tc>
          <w:tcPr>
            <w:tcW w:w="1728" w:type="dxa"/>
          </w:tcPr>
          <w:p w14:paraId="11B46FD1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  <w:lang w:val="es-HN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  <w:lang w:val="es-HN"/>
              </w:rPr>
              <w:t>Controles de seguridad y disponibilidad</w:t>
            </w:r>
          </w:p>
        </w:tc>
        <w:tc>
          <w:tcPr>
            <w:tcW w:w="1728" w:type="dxa"/>
          </w:tcPr>
          <w:p w14:paraId="523255B4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SOC 1, SOC 2, SOC 3</w:t>
            </w:r>
          </w:p>
        </w:tc>
        <w:tc>
          <w:tcPr>
            <w:tcW w:w="1728" w:type="dxa"/>
          </w:tcPr>
          <w:p w14:paraId="700EBDBE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  <w:lang w:val="es-HN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  <w:lang w:val="es-HN"/>
              </w:rPr>
              <w:t>Evaluación independiente de controles de seguridad</w:t>
            </w:r>
          </w:p>
        </w:tc>
      </w:tr>
      <w:tr w:rsidR="00D153C8" w:rsidRPr="00D153C8" w14:paraId="3BDB1EBD" w14:textId="77777777">
        <w:tc>
          <w:tcPr>
            <w:tcW w:w="1728" w:type="dxa"/>
          </w:tcPr>
          <w:p w14:paraId="00632664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153C8">
              <w:rPr>
                <w:rFonts w:ascii="Times New Roman" w:hAnsi="Times New Roman" w:cs="Times New Roman"/>
                <w:color w:val="000000" w:themeColor="text1"/>
              </w:rPr>
              <w:t>Seguridad</w:t>
            </w:r>
            <w:proofErr w:type="spellEnd"/>
          </w:p>
        </w:tc>
        <w:tc>
          <w:tcPr>
            <w:tcW w:w="1728" w:type="dxa"/>
          </w:tcPr>
          <w:p w14:paraId="76C4825F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PCI DSS</w:t>
            </w:r>
          </w:p>
        </w:tc>
        <w:tc>
          <w:tcPr>
            <w:tcW w:w="1728" w:type="dxa"/>
          </w:tcPr>
          <w:p w14:paraId="6BCA7D1E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  <w:lang w:val="es-HN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  <w:lang w:val="es-HN"/>
              </w:rPr>
              <w:t>Norma para protección de datos de tarjetas</w:t>
            </w:r>
          </w:p>
        </w:tc>
        <w:tc>
          <w:tcPr>
            <w:tcW w:w="1728" w:type="dxa"/>
          </w:tcPr>
          <w:p w14:paraId="522ECCFA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 xml:space="preserve">12 </w:t>
            </w:r>
            <w:proofErr w:type="spellStart"/>
            <w:r w:rsidRPr="00D153C8">
              <w:rPr>
                <w:rFonts w:ascii="Times New Roman" w:hAnsi="Times New Roman" w:cs="Times New Roman"/>
                <w:color w:val="000000" w:themeColor="text1"/>
              </w:rPr>
              <w:t>requerimientos</w:t>
            </w:r>
            <w:proofErr w:type="spellEnd"/>
          </w:p>
        </w:tc>
        <w:tc>
          <w:tcPr>
            <w:tcW w:w="1728" w:type="dxa"/>
          </w:tcPr>
          <w:p w14:paraId="687A6E02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  <w:lang w:val="es-HN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  <w:lang w:val="es-HN"/>
              </w:rPr>
              <w:t>Seguridad en procesamiento de pagos</w:t>
            </w:r>
          </w:p>
        </w:tc>
      </w:tr>
      <w:tr w:rsidR="00D153C8" w:rsidRPr="00D153C8" w14:paraId="601D66E2" w14:textId="77777777">
        <w:tc>
          <w:tcPr>
            <w:tcW w:w="1728" w:type="dxa"/>
          </w:tcPr>
          <w:p w14:paraId="60371498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153C8">
              <w:rPr>
                <w:rFonts w:ascii="Times New Roman" w:hAnsi="Times New Roman" w:cs="Times New Roman"/>
                <w:color w:val="000000" w:themeColor="text1"/>
              </w:rPr>
              <w:t>Sostenibilidad</w:t>
            </w:r>
            <w:proofErr w:type="spellEnd"/>
          </w:p>
        </w:tc>
        <w:tc>
          <w:tcPr>
            <w:tcW w:w="1728" w:type="dxa"/>
          </w:tcPr>
          <w:p w14:paraId="3C1E068D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LEED</w:t>
            </w:r>
          </w:p>
        </w:tc>
        <w:tc>
          <w:tcPr>
            <w:tcW w:w="1728" w:type="dxa"/>
          </w:tcPr>
          <w:p w14:paraId="66EE284F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Diseño y operación sostenible</w:t>
            </w:r>
          </w:p>
        </w:tc>
        <w:tc>
          <w:tcPr>
            <w:tcW w:w="1728" w:type="dxa"/>
          </w:tcPr>
          <w:p w14:paraId="598D5DC7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Certificado, Plata, Oro, Platino</w:t>
            </w:r>
          </w:p>
        </w:tc>
        <w:tc>
          <w:tcPr>
            <w:tcW w:w="1728" w:type="dxa"/>
          </w:tcPr>
          <w:p w14:paraId="1F537788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Construcciones ecológicas y eficientes</w:t>
            </w:r>
          </w:p>
        </w:tc>
      </w:tr>
      <w:tr w:rsidR="00D153C8" w:rsidRPr="00D153C8" w14:paraId="11E3F05A" w14:textId="77777777">
        <w:tc>
          <w:tcPr>
            <w:tcW w:w="1728" w:type="dxa"/>
          </w:tcPr>
          <w:p w14:paraId="6300DB12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153C8">
              <w:rPr>
                <w:rFonts w:ascii="Times New Roman" w:hAnsi="Times New Roman" w:cs="Times New Roman"/>
                <w:color w:val="000000" w:themeColor="text1"/>
              </w:rPr>
              <w:t>Sostenibilidad</w:t>
            </w:r>
            <w:proofErr w:type="spellEnd"/>
          </w:p>
        </w:tc>
        <w:tc>
          <w:tcPr>
            <w:tcW w:w="1728" w:type="dxa"/>
          </w:tcPr>
          <w:p w14:paraId="32E11BC1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Energy Star</w:t>
            </w:r>
          </w:p>
        </w:tc>
        <w:tc>
          <w:tcPr>
            <w:tcW w:w="1728" w:type="dxa"/>
          </w:tcPr>
          <w:p w14:paraId="00F28945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Eficiencia energética comparativa</w:t>
            </w:r>
          </w:p>
        </w:tc>
        <w:tc>
          <w:tcPr>
            <w:tcW w:w="1728" w:type="dxa"/>
          </w:tcPr>
          <w:p w14:paraId="7388BA7C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Puntaje 1-100</w:t>
            </w:r>
          </w:p>
        </w:tc>
        <w:tc>
          <w:tcPr>
            <w:tcW w:w="1728" w:type="dxa"/>
          </w:tcPr>
          <w:p w14:paraId="5F671D82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Medición de eficiencia energética</w:t>
            </w:r>
          </w:p>
        </w:tc>
      </w:tr>
      <w:tr w:rsidR="00D153C8" w:rsidRPr="00D153C8" w14:paraId="4D69FDCC" w14:textId="77777777">
        <w:tc>
          <w:tcPr>
            <w:tcW w:w="1728" w:type="dxa"/>
          </w:tcPr>
          <w:p w14:paraId="7088644A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153C8">
              <w:rPr>
                <w:rFonts w:ascii="Times New Roman" w:hAnsi="Times New Roman" w:cs="Times New Roman"/>
                <w:color w:val="000000" w:themeColor="text1"/>
              </w:rPr>
              <w:t>Sostenibilidad</w:t>
            </w:r>
            <w:proofErr w:type="spellEnd"/>
          </w:p>
        </w:tc>
        <w:tc>
          <w:tcPr>
            <w:tcW w:w="1728" w:type="dxa"/>
          </w:tcPr>
          <w:p w14:paraId="3B7C628B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ISO 50001</w:t>
            </w:r>
          </w:p>
        </w:tc>
        <w:tc>
          <w:tcPr>
            <w:tcW w:w="1728" w:type="dxa"/>
          </w:tcPr>
          <w:p w14:paraId="2DDD4B7C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Gestión de la energía</w:t>
            </w:r>
          </w:p>
        </w:tc>
        <w:tc>
          <w:tcPr>
            <w:tcW w:w="1728" w:type="dxa"/>
          </w:tcPr>
          <w:p w14:paraId="1DA5977C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No aplica</w:t>
            </w:r>
          </w:p>
        </w:tc>
        <w:tc>
          <w:tcPr>
            <w:tcW w:w="1728" w:type="dxa"/>
          </w:tcPr>
          <w:p w14:paraId="74B135CD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  <w:lang w:val="es-HN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  <w:lang w:val="es-HN"/>
              </w:rPr>
              <w:t>Mejora continua en consumo energético</w:t>
            </w:r>
          </w:p>
        </w:tc>
      </w:tr>
      <w:tr w:rsidR="00D153C8" w:rsidRPr="00D153C8" w14:paraId="71C468DA" w14:textId="77777777">
        <w:tc>
          <w:tcPr>
            <w:tcW w:w="1728" w:type="dxa"/>
          </w:tcPr>
          <w:p w14:paraId="763A4C8E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153C8">
              <w:rPr>
                <w:rFonts w:ascii="Times New Roman" w:hAnsi="Times New Roman" w:cs="Times New Roman"/>
                <w:color w:val="000000" w:themeColor="text1"/>
              </w:rPr>
              <w:t>Sostenibilidad</w:t>
            </w:r>
            <w:proofErr w:type="spellEnd"/>
          </w:p>
        </w:tc>
        <w:tc>
          <w:tcPr>
            <w:tcW w:w="1728" w:type="dxa"/>
          </w:tcPr>
          <w:p w14:paraId="3597CE6F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CEEDA</w:t>
            </w:r>
          </w:p>
        </w:tc>
        <w:tc>
          <w:tcPr>
            <w:tcW w:w="1728" w:type="dxa"/>
          </w:tcPr>
          <w:p w14:paraId="1BD75311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Evaluación energética específica</w:t>
            </w:r>
          </w:p>
        </w:tc>
        <w:tc>
          <w:tcPr>
            <w:tcW w:w="1728" w:type="dxa"/>
          </w:tcPr>
          <w:p w14:paraId="2E9A6561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Bronce, Plata, Oro</w:t>
            </w:r>
          </w:p>
        </w:tc>
        <w:tc>
          <w:tcPr>
            <w:tcW w:w="1728" w:type="dxa"/>
          </w:tcPr>
          <w:p w14:paraId="74300889" w14:textId="77777777" w:rsidR="00EE5A7C" w:rsidRPr="00D153C8" w:rsidRDefault="00000000" w:rsidP="00D153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3C8">
              <w:rPr>
                <w:rFonts w:ascii="Times New Roman" w:hAnsi="Times New Roman" w:cs="Times New Roman"/>
                <w:color w:val="000000" w:themeColor="text1"/>
              </w:rPr>
              <w:t>Promueve operaciones eficientes energéticamente</w:t>
            </w:r>
          </w:p>
        </w:tc>
      </w:tr>
    </w:tbl>
    <w:p w14:paraId="16F7616B" w14:textId="77777777" w:rsidR="00EE5A7C" w:rsidRPr="00D153C8" w:rsidRDefault="00000000" w:rsidP="00D153C8">
      <w:pPr>
        <w:rPr>
          <w:rFonts w:ascii="Times New Roman" w:hAnsi="Times New Roman" w:cs="Times New Roman"/>
          <w:color w:val="000000" w:themeColor="text1"/>
        </w:rPr>
      </w:pPr>
      <w:r w:rsidRPr="00D153C8">
        <w:rPr>
          <w:rFonts w:ascii="Times New Roman" w:hAnsi="Times New Roman" w:cs="Times New Roman"/>
          <w:color w:val="000000" w:themeColor="text1"/>
        </w:rPr>
        <w:br w:type="page"/>
      </w:r>
    </w:p>
    <w:p w14:paraId="2B6100D7" w14:textId="77777777" w:rsidR="00EE5A7C" w:rsidRPr="00D153C8" w:rsidRDefault="00000000" w:rsidP="00D153C8">
      <w:pPr>
        <w:pStyle w:val="Ttulo1"/>
        <w:rPr>
          <w:rFonts w:ascii="Times New Roman" w:hAnsi="Times New Roman" w:cs="Times New Roman"/>
          <w:color w:val="000000" w:themeColor="text1"/>
        </w:rPr>
      </w:pPr>
      <w:r w:rsidRPr="00D153C8">
        <w:rPr>
          <w:rFonts w:ascii="Times New Roman" w:hAnsi="Times New Roman" w:cs="Times New Roman"/>
          <w:color w:val="000000" w:themeColor="text1"/>
        </w:rPr>
        <w:lastRenderedPageBreak/>
        <w:t>5. Conclusión</w:t>
      </w:r>
    </w:p>
    <w:p w14:paraId="436A1012" w14:textId="77777777" w:rsidR="00EE5A7C" w:rsidRPr="00D153C8" w:rsidRDefault="00000000" w:rsidP="00D153C8">
      <w:pPr>
        <w:rPr>
          <w:lang w:val="es-HN"/>
        </w:rPr>
      </w:pPr>
      <w:r w:rsidRPr="00D153C8">
        <w:rPr>
          <w:rFonts w:ascii="Times New Roman" w:hAnsi="Times New Roman" w:cs="Times New Roman"/>
          <w:color w:val="000000" w:themeColor="text1"/>
          <w:lang w:val="es-HN"/>
        </w:rPr>
        <w:t>La certificación de centros de datos se ha convertido en una necesidad estratégica para empresas que buscan garantizar la calidad, seguridad y sostenibilidad de sus operaciones. Contar con certificaciones reconocidas a nivel mundial no solo mejora la confianza de los clientes y socios, sino que también optimiza los procesos internos, reduce riesgos y prepara la infraestructura para los desafíos tecnológicos futuros.</w:t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</w:r>
      <w:r w:rsidRPr="00D153C8">
        <w:rPr>
          <w:rFonts w:ascii="Times New Roman" w:hAnsi="Times New Roman" w:cs="Times New Roman"/>
          <w:color w:val="000000" w:themeColor="text1"/>
          <w:lang w:val="es-HN"/>
        </w:rPr>
        <w:br/>
        <w:t>Dependiendo de la naturaleza del centro de datos y sus objetivos, se pueden combinar diferentes certificaciones para abarcar todos los aspectos críticos: desde la solidez estructural, hasta la protección de la información y el respeto por el medio ambiente. La elección e implementación de estas certificaciones debe formar parte de una estrategia integral de gest</w:t>
      </w:r>
      <w:r w:rsidRPr="00D153C8">
        <w:rPr>
          <w:lang w:val="es-HN"/>
        </w:rPr>
        <w:t>ión y mejora continua.</w:t>
      </w:r>
    </w:p>
    <w:sectPr w:rsidR="00EE5A7C" w:rsidRPr="00D153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2F5E6" w14:textId="77777777" w:rsidR="00D521BC" w:rsidRDefault="00D521BC" w:rsidP="00D153C8">
      <w:pPr>
        <w:spacing w:after="0" w:line="240" w:lineRule="auto"/>
      </w:pPr>
      <w:r>
        <w:separator/>
      </w:r>
    </w:p>
  </w:endnote>
  <w:endnote w:type="continuationSeparator" w:id="0">
    <w:p w14:paraId="6054DA7C" w14:textId="77777777" w:rsidR="00D521BC" w:rsidRDefault="00D521BC" w:rsidP="00D1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51638" w14:textId="77777777" w:rsidR="00D521BC" w:rsidRDefault="00D521BC" w:rsidP="00D153C8">
      <w:pPr>
        <w:spacing w:after="0" w:line="240" w:lineRule="auto"/>
      </w:pPr>
      <w:r>
        <w:separator/>
      </w:r>
    </w:p>
  </w:footnote>
  <w:footnote w:type="continuationSeparator" w:id="0">
    <w:p w14:paraId="4E6F70D2" w14:textId="77777777" w:rsidR="00D521BC" w:rsidRDefault="00D521BC" w:rsidP="00D15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4607651">
    <w:abstractNumId w:val="8"/>
  </w:num>
  <w:num w:numId="2" w16cid:durableId="501240412">
    <w:abstractNumId w:val="6"/>
  </w:num>
  <w:num w:numId="3" w16cid:durableId="2122530240">
    <w:abstractNumId w:val="5"/>
  </w:num>
  <w:num w:numId="4" w16cid:durableId="2113889715">
    <w:abstractNumId w:val="4"/>
  </w:num>
  <w:num w:numId="5" w16cid:durableId="1840388242">
    <w:abstractNumId w:val="7"/>
  </w:num>
  <w:num w:numId="6" w16cid:durableId="675352668">
    <w:abstractNumId w:val="3"/>
  </w:num>
  <w:num w:numId="7" w16cid:durableId="1901674514">
    <w:abstractNumId w:val="2"/>
  </w:num>
  <w:num w:numId="8" w16cid:durableId="2088922586">
    <w:abstractNumId w:val="1"/>
  </w:num>
  <w:num w:numId="9" w16cid:durableId="151862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06410"/>
    <w:rsid w:val="00AA1D8D"/>
    <w:rsid w:val="00B47730"/>
    <w:rsid w:val="00CB0664"/>
    <w:rsid w:val="00D153C8"/>
    <w:rsid w:val="00D521BC"/>
    <w:rsid w:val="00EE5A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3EA141"/>
  <w14:defaultImageDpi w14:val="300"/>
  <w15:docId w15:val="{82442BDA-28D4-47D1-8DAB-13A285C5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1303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Aaron</cp:lastModifiedBy>
  <cp:revision>2</cp:revision>
  <dcterms:created xsi:type="dcterms:W3CDTF">2025-03-30T01:28:00Z</dcterms:created>
  <dcterms:modified xsi:type="dcterms:W3CDTF">2025-03-30T01:28:00Z</dcterms:modified>
  <cp:category/>
</cp:coreProperties>
</file>