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SIH26014 — Integrated GIS-based Digital Public Infrastructure for Land Governance</w:t>
      </w:r>
    </w:p>
    <w:p>
      <w:pPr>
        <w:jc w:val="center"/>
      </w:pPr>
      <w:r>
        <w:rPr>
          <w:b/>
        </w:rPr>
        <w:t>Research &amp; Concept Understanding — Connecting the Dots</w:t>
      </w:r>
    </w:p>
    <w:p>
      <w:pPr>
        <w:pStyle w:val="Heading1"/>
      </w:pPr>
      <w:r>
        <w:t>1. Executive understanding</w:t>
      </w:r>
    </w:p>
    <w:p>
      <w:r>
        <w:t>SIH26014 is not simply a “build a GIS map” problem. The supplied SIH assessment identifies a very high research scope, moderate feasibility, strong research availability, and a core problem of fragmented departmental records, inconsistent spatial identifiers, manual GIS work and workflow silos.</w:t>
      </w:r>
    </w:p>
    <w:p/>
    <w:p>
      <w:r>
        <w:t>The key research question that emerged from the discussion is: If India already has DILRMP, ULPIN, NAKSHA and state platforms such as Kerala’s Ente Bhoomi, what interoperability gap remains? The strongest interpretation is a parcel-centric national interoperability/DPI layer: common identity, common semantics, GIS interoperability, APIs, provenance and lifecycle tracking, while preserving state systems as authoritative sources.</w:t>
      </w:r>
    </w:p>
    <w:p>
      <w:pPr>
        <w:pStyle w:val="Heading1"/>
      </w:pPr>
      <w:r>
        <w:t>2. The basic land model</w:t>
      </w:r>
    </w:p>
    <w:p>
      <w:r>
        <w:t>A land parcel is a defined physical/geographic piece of land. It is not a fixed-size unit and it is not synonymous with an owner. The parcel is represented spatially by a boundary; ownership and other rights are information associated with that parcel.</w:t>
      </w:r>
    </w:p>
    <w:p/>
    <w:p>
      <w:r>
        <w:t>A useful mental model is:</w:t>
      </w:r>
    </w:p>
    <w:p>
      <w:r>
        <w:t>PARCEL = identity/reference + attributes + geometry.</w:t>
      </w:r>
    </w:p>
    <w:p>
      <w:r>
        <w:t>The geometry can be a polygon whose boundary is stored as ordered coordinates.</w:t>
      </w:r>
    </w:p>
    <w:p>
      <w:pPr>
        <w:pStyle w:val="Heading1"/>
      </w:pPr>
      <w:r>
        <w:t>3. How text becomes a GIS parcel</w:t>
      </w:r>
    </w:p>
    <w:p>
      <w:r>
        <w:t>“Survey No. 49” does not itself become a polygon. The survey identifier is linked to spatial geometry. Boundary surveying/mapping provides vertices; GIS stores those vertices and connects them into a closed polygon.</w:t>
      </w:r>
    </w:p>
    <w:p/>
    <w:p>
      <w:r>
        <w:t>Conceptually:</w:t>
      </w:r>
    </w:p>
    <w:p>
      <w:r>
        <w:t>Survey No. 49 → boundary vertices P1…Pn → POLYGON(coordinates).</w:t>
      </w:r>
    </w:p>
    <w:p/>
    <w:p>
      <w:r>
        <w:t>The textual record and spatial record therefore have to be linked reliably.</w:t>
      </w:r>
    </w:p>
    <w:p>
      <w:pPr>
        <w:pStyle w:val="Heading1"/>
      </w:pPr>
      <w:r>
        <w:t>4. Real Kerala example we examined</w:t>
      </w:r>
    </w:p>
    <w:p>
      <w:r>
        <w:t>The uploaded Government of Kerala Department of Revenue Land Parcel Map gives a concrete example: District Ernakulam, Taluk Kanayannur, Village Thekkumbhagam, Block No. 356, Survey No. 49, area 292.94 sq.m. The document is marked DRAFT COPY.</w:t>
      </w:r>
    </w:p>
    <w:p/>
    <w:p>
      <w:r>
        <w:t>It provides seven East/North vertices:</w:t>
      </w:r>
    </w:p>
    <w:p>
      <w:r>
        <w:t>1: 325.9475, -184.57085</w:t>
      </w:r>
    </w:p>
    <w:p>
      <w:r>
        <w:t>2: 327.0806, -191.18115</w:t>
      </w:r>
    </w:p>
    <w:p>
      <w:r>
        <w:t>3: 327.9171, -198.68085</w:t>
      </w:r>
    </w:p>
    <w:p>
      <w:r>
        <w:t>4: 313.8714, -200.76805</w:t>
      </w:r>
    </w:p>
    <w:p>
      <w:r>
        <w:t>5: 307.9365, -201.64995</w:t>
      </w:r>
    </w:p>
    <w:p>
      <w:r>
        <w:t>6: 307.4547, -185.78625</w:t>
      </w:r>
    </w:p>
    <w:p>
      <w:r>
        <w:t>7: 325.3397, -184.54645</w:t>
      </w:r>
    </w:p>
    <w:p/>
    <w:p>
      <w:r>
        <w:t>Those vertices define the parcel boundary. The map states 292.94 sq.m. The East/North values are not ordinary latitude/longitude; they belong to the survey/cadastral coordinate framework used by the map. The document's fields and coordinates are on page 1. fileciteturn0file0L8-L28</w:t>
      </w:r>
    </w:p>
    <w:p/>
    <w:p>
      <w:r>
        <w:t>A real-world location for Survey 49 was separately found at 9.940957, 76.349416. That single coordinate should be treated as a reference/representative point unless the source establishes whether it is a vertex, centroid or map-click location.</w:t>
      </w:r>
    </w:p>
    <w:p>
      <w:pPr>
        <w:pStyle w:val="Heading1"/>
      </w:pPr>
      <w:r>
        <w:t>5. The “???” coordinate problem</w:t>
      </w:r>
    </w:p>
    <w:p>
      <w:r>
        <w:t>The missing step between local East/North coordinates and latitude/longitude is georeferencing/coordinate transformation. The local numbers alone are insufficient to calculate WGS84 latitude/longitude unless the coordinate reference system, origin/transformation parameters or suitable control points are known.</w:t>
      </w:r>
    </w:p>
    <w:p/>
    <w:p>
      <w:r>
        <w:t>Therefore:</w:t>
      </w:r>
    </w:p>
    <w:p>
      <w:r>
        <w:t>local cadastral coordinates + CRS/georeferencing → real-world projected coordinates → latitude/longitude.</w:t>
      </w:r>
    </w:p>
    <w:p/>
    <w:p>
      <w:r>
        <w:t>This matters to SIH26014 because spatial interoperability is not only about field names; systems can also differ in CRS, survey methods and geometry quality.</w:t>
      </w:r>
    </w:p>
    <w:p>
      <w:pPr>
        <w:pStyle w:val="Heading1"/>
      </w:pPr>
      <w:r>
        <w:t>6. RoR vs EC</w:t>
      </w:r>
    </w:p>
    <w:p>
      <w:r>
        <w:t>RoR (Record of Rights) is a land/revenue record containing information about recorded rights and parcel-related attributes; exact fields vary by state. EC (Encumbrance Certificate) is a registration-side record of registered transactions/encumbrances for a searched property and period.</w:t>
      </w:r>
    </w:p>
    <w:p/>
    <w:p>
      <w:r>
        <w:t>RoR answers roughly: “What does the land-record/revenue system record about this parcel and its rights?”</w:t>
      </w:r>
    </w:p>
    <w:p>
      <w:r>
        <w:t>EC answers roughly: “What registered transactions/encumbrances affecting this property appear in the registration record for the searched period?”</w:t>
      </w:r>
    </w:p>
    <w:p/>
    <w:p>
      <w:r>
        <w:t>They are not interchangeable, and an EC should not be treated as proof that every possible dispute, restriction or unregistered claim is absent.</w:t>
      </w:r>
    </w:p>
    <w:p>
      <w:pPr>
        <w:pStyle w:val="Heading1"/>
      </w:pPr>
      <w:r>
        <w:t>7. ULPIN and parcel lifecycle</w:t>
      </w:r>
    </w:p>
    <w:p>
      <w:r>
        <w:t>ULPIN (Unique Land Parcel Identification Number), also called Bhu-Aadhaar in the government context, is intended to provide a unique parcel-level identity based on georeferenced cadastral parcel information.</w:t>
      </w:r>
    </w:p>
    <w:p/>
    <w:p>
      <w:r>
        <w:t>ULPIN is not an owner ID. GIS geometry represents the physical parcel. RoR represents recorded rights/land-record information. Registration/EC records registered transactions and encumbrances.</w:t>
      </w:r>
    </w:p>
    <w:p/>
    <w:p>
      <w:r>
        <w:t>Whole parcel sold: physical parcel can remain the same, so the parcel identity can remain associated with the same geometry while rights change.</w:t>
      </w:r>
    </w:p>
    <w:p>
      <w:r>
        <w:t>Undivided share sold: one physical polygon can have multiple right holders/shares.</w:t>
      </w:r>
    </w:p>
    <w:p>
      <w:r>
        <w:t>Subdivision: the geometry changes and new parcel identities can be generated; the old ULPIN is retained for previous reference according to the official ULPIN FAQ discussed.</w:t>
      </w:r>
    </w:p>
    <w:p>
      <w:r>
        <w:t>Merger/resurvey/boundary change: parcel lineage needs to be represented.</w:t>
      </w:r>
    </w:p>
    <w:p>
      <w:pPr>
        <w:pStyle w:val="Heading1"/>
      </w:pPr>
      <w:r>
        <w:t>8. The central integration problem</w:t>
      </w:r>
    </w:p>
    <w:p>
      <w:r>
        <w:t>The real object to integrate is the SAME PHYSICAL PARCEL across systems.</w:t>
      </w:r>
    </w:p>
    <w:p/>
    <w:p>
      <w:r>
        <w:t>PARCEL / ULPIN</w:t>
      </w:r>
    </w:p>
    <w:p>
      <w:r>
        <w:t>├── GIS → geometry/location</w:t>
      </w:r>
    </w:p>
    <w:p>
      <w:r>
        <w:t>├── RoR → recorded rights/land attributes</w:t>
      </w:r>
    </w:p>
    <w:p>
      <w:r>
        <w:t>├── Registration/EC → registered transactions/encumbrances</w:t>
      </w:r>
    </w:p>
    <w:p>
      <w:r>
        <w:t>├── Survey → cadastral geometry/history</w:t>
      </w:r>
    </w:p>
    <w:p>
      <w:r>
        <w:t>├── Planning/building → permitted use/development</w:t>
      </w:r>
    </w:p>
    <w:p>
      <w:r>
        <w:t>└── Courts/other agencies → relevant governance information</w:t>
      </w:r>
    </w:p>
    <w:p/>
    <w:p>
      <w:r>
        <w:t>The core question is: Can the system reliably establish that the “Survey No. 125/3” in one record, the registration property and a GIS polygon all refer to the same physical parcel? ULPIN is intended to help, but identity resolution, data quality and lifecycle management are still required.</w:t>
      </w:r>
    </w:p>
    <w:p>
      <w:pPr>
        <w:pStyle w:val="Heading1"/>
      </w:pPr>
      <w:r>
        <w:t>9. Ente Bhoomi: the Kerala reference case</w:t>
      </w:r>
    </w:p>
    <w:p>
      <w:r>
        <w:t>Ente Bhoomi is important because Kerala already has an integrated land-information/service model spanning Survey, Revenue and Registration. This means SIH26014 should not simply propose “Ente Bhoomi for all India.”</w:t>
      </w:r>
    </w:p>
    <w:p/>
    <w:p>
      <w:r>
        <w:t>The useful research question is how a national layer can allow heterogeneous state systems to participate in a common ecosystem without forcing every state to discard its existing systems.</w:t>
      </w:r>
    </w:p>
    <w:p>
      <w:pPr>
        <w:pStyle w:val="Heading1"/>
      </w:pPr>
      <w:r>
        <w:t>10. DoLR and DILRMP</w:t>
      </w:r>
    </w:p>
    <w:p>
      <w:r>
        <w:t>DoLR = Department of Land Resources, under the Ministry of Rural Development.</w:t>
      </w:r>
    </w:p>
    <w:p>
      <w:r>
        <w:t>DILRMP = Digital India Land Records Modernization Programme.</w:t>
      </w:r>
    </w:p>
    <w:p/>
    <w:p>
      <w:r>
        <w:t>DILRMP already covers major modernization/integration goals: RoR computerization, cadastral-map digitization, RoR–map linkage, registration computerization/linkage, survey/resurvey, revenue-court linkage and integrated land-information capabilities.</w:t>
      </w:r>
    </w:p>
    <w:p/>
    <w:p>
      <w:r>
        <w:t>Therefore, a weak proposal would simply repeat “digitize and integrate land records.” The stronger question is what measurable interoperability gap remains after these programmes and state implementations.</w:t>
      </w:r>
    </w:p>
    <w:p>
      <w:pPr>
        <w:pStyle w:val="Heading1"/>
      </w:pPr>
      <w:r>
        <w:t>11. What interoperability gap remains?</w:t>
      </w:r>
    </w:p>
    <w:p>
      <w:r>
        <w:t>The strongest candidate gaps are:</w:t>
      </w:r>
    </w:p>
    <w:p/>
    <w:p>
      <w:r>
        <w:t>1. Common data model — states use different terminology and schemas.</w:t>
      </w:r>
    </w:p>
    <w:p>
      <w:r>
        <w:t>2. Common parcel identity — map state identifiers to a common parcel identity such as ULPIN.</w:t>
      </w:r>
    </w:p>
    <w:p>
      <w:r>
        <w:t>3. Semantic/schema mapping — distinguish equivalent concepts without deleting local terminology.</w:t>
      </w:r>
    </w:p>
    <w:p>
      <w:r>
        <w:t>4. GIS interoperability — handle different coordinate systems, survey methods and geometric representations.</w:t>
      </w:r>
    </w:p>
    <w:p>
      <w:r>
        <w:t>5. API federation — query authoritative state systems through common interfaces.</w:t>
      </w:r>
    </w:p>
    <w:p>
      <w:r>
        <w:t>6. Provenance and freshness — preserve source, timestamp, status and update state when records change asynchronously.</w:t>
      </w:r>
    </w:p>
    <w:p>
      <w:r>
        <w:t>7. Parcel lineage — represent subdivision, merger, resurvey and boundary changes.</w:t>
      </w:r>
    </w:p>
    <w:p>
      <w:r>
        <w:t>8. Cross-domain integration — connect land information to planning, building permissions, tax, courts and other governance datasets where appropriate.</w:t>
      </w:r>
    </w:p>
    <w:p>
      <w:pPr>
        <w:pStyle w:val="Heading1"/>
      </w:pPr>
      <w:r>
        <w:t>12. “Translating state names to one”</w:t>
      </w:r>
    </w:p>
    <w:p>
      <w:r>
        <w:t>Your earlier idea is essentially a common semantic model.</w:t>
      </w:r>
    </w:p>
    <w:p/>
    <w:p>
      <w:r>
        <w:t>Example:</w:t>
      </w:r>
    </w:p>
    <w:p>
      <w:r>
        <w:t>Kerala Survey No. → national parcel.reference</w:t>
      </w:r>
    </w:p>
    <w:p>
      <w:r>
        <w:t>Thandaper → national rights_account</w:t>
      </w:r>
    </w:p>
    <w:p>
      <w:r>
        <w:t>Area → parcel.area</w:t>
      </w:r>
    </w:p>
    <w:p>
      <w:r>
        <w:t>Cadastral polygon → parcel.geometry</w:t>
      </w:r>
    </w:p>
    <w:p>
      <w:r>
        <w:t>ULPIN → parcel.id</w:t>
      </w:r>
    </w:p>
    <w:p/>
    <w:p>
      <w:r>
        <w:t>Do not erase the state's original terminology. Preserve source fields and map them into canonical concepts. This is schema/semantic interoperability, not merely renaming columns.</w:t>
      </w:r>
    </w:p>
    <w:p>
      <w:pPr>
        <w:pStyle w:val="Heading1"/>
      </w:pPr>
      <w:r>
        <w:t>13. National DPI: centralize or federate?</w:t>
      </w:r>
    </w:p>
    <w:p>
      <w:r>
        <w:t>The stronger architecture is federation/interoperability rather than blindly centralizing every state database.</w:t>
      </w:r>
    </w:p>
    <w:p/>
    <w:p>
      <w:r>
        <w:t>National Land DPI:</w:t>
      </w:r>
    </w:p>
    <w:p>
      <w:r>
        <w:t>• Common Parcel Model</w:t>
      </w:r>
    </w:p>
    <w:p>
      <w:r>
        <w:t>• ULPIN / parcel identity</w:t>
      </w:r>
    </w:p>
    <w:p>
      <w:r>
        <w:t>• Schema/semantic mapping</w:t>
      </w:r>
    </w:p>
    <w:p>
      <w:r>
        <w:t>• API/integration layer</w:t>
      </w:r>
    </w:p>
    <w:p>
      <w:r>
        <w:t>• GIS interoperability</w:t>
      </w:r>
    </w:p>
    <w:p>
      <w:r>
        <w:t>• Access control</w:t>
      </w:r>
    </w:p>
    <w:p>
      <w:r>
        <w:t>• Provenance and audit</w:t>
      </w:r>
    </w:p>
    <w:p>
      <w:r>
        <w:t>• Parcel lineage</w:t>
      </w:r>
    </w:p>
    <w:p/>
    <w:p>
      <w:r>
        <w:t>Below it:</w:t>
      </w:r>
    </w:p>
    <w:p>
      <w:r>
        <w:t>Kerala / Karnataka / Rajasthan / other state systems remain authoritative.</w:t>
      </w:r>
    </w:p>
    <w:p/>
    <w:p>
      <w:r>
        <w:t>The national layer provides common interfaces and identity; state systems remain sources of authoritative records. This is closer to a Digital Public Infrastructure approach than one giant centralized database.</w:t>
      </w:r>
    </w:p>
    <w:p>
      <w:pPr>
        <w:pStyle w:val="Heading1"/>
      </w:pPr>
      <w:r>
        <w:t>14. What should NOT be claimed as novelty</w:t>
      </w:r>
    </w:p>
    <w:p>
      <w:r>
        <w:t>Do not claim these as inventions:</w:t>
      </w:r>
    </w:p>
    <w:p>
      <w:r>
        <w:t>• creating ULPIN from scratch;</w:t>
      </w:r>
    </w:p>
    <w:p>
      <w:r>
        <w:t>• digitizing all land records from scratch;</w:t>
      </w:r>
    </w:p>
    <w:p>
      <w:r>
        <w:t>• creating cadastral GIS from scratch;</w:t>
      </w:r>
    </w:p>
    <w:p>
      <w:r>
        <w:t>• simply building a chatbot/RAG over land documents;</w:t>
      </w:r>
    </w:p>
    <w:p>
      <w:r>
        <w:t>• simply creating a national land website;</w:t>
      </w:r>
    </w:p>
    <w:p>
      <w:r>
        <w:t>• simply centralizing state databases;</w:t>
      </w:r>
    </w:p>
    <w:p>
      <w:r>
        <w:t>• treating EC as a complete title/legal guarantee.</w:t>
      </w:r>
    </w:p>
    <w:p/>
    <w:p>
      <w:r>
        <w:t>The novelty should come from a specific, measurable interoperability or decision-support gap that existing programmes do not already solve completely.</w:t>
      </w:r>
    </w:p>
    <w:p>
      <w:pPr>
        <w:pStyle w:val="Heading1"/>
      </w:pPr>
      <w:r>
        <w:t>15. Potential product / prototype</w:t>
      </w:r>
    </w:p>
    <w:p>
      <w:r>
        <w:t>A strong prototype could demonstrate a “Single Parcel View.”</w:t>
      </w:r>
    </w:p>
    <w:p/>
    <w:p>
      <w:r>
        <w:t>Flow:</w:t>
      </w:r>
    </w:p>
    <w:p>
      <w:r>
        <w:t>State identifier → identity resolution → ULPIN/parcel identity → GIS geometry → linked RoR/registration-style records → parcel history → conflict/data-quality checks → decision-support view.</w:t>
      </w:r>
    </w:p>
    <w:p/>
    <w:p>
      <w:r>
        <w:t>A second prototype could be a national schema-mapping service: state-specific records enter through adapters and are transformed into a canonical parcel model while retaining source semantics.</w:t>
      </w:r>
    </w:p>
    <w:p/>
    <w:p>
      <w:r>
        <w:t>Useful synthetic scenarios:</w:t>
      </w:r>
    </w:p>
    <w:p>
      <w:r>
        <w:t>• whole parcel sale;</w:t>
      </w:r>
    </w:p>
    <w:p>
      <w:r>
        <w:t>• undivided share transfer;</w:t>
      </w:r>
    </w:p>
    <w:p>
      <w:r>
        <w:t>• subdivision;</w:t>
      </w:r>
    </w:p>
    <w:p>
      <w:r>
        <w:t>• merger;</w:t>
      </w:r>
    </w:p>
    <w:p>
      <w:r>
        <w:t>• resurvey/boundary change;</w:t>
      </w:r>
    </w:p>
    <w:p>
      <w:r>
        <w:t>• inconsistent area;</w:t>
      </w:r>
    </w:p>
    <w:p>
      <w:r>
        <w:t>• geometry/identifier mismatch;</w:t>
      </w:r>
    </w:p>
    <w:p>
      <w:r>
        <w:t>• missing linkage between textual and spatial records.</w:t>
      </w:r>
    </w:p>
    <w:p>
      <w:pPr>
        <w:pStyle w:val="Heading1"/>
      </w:pPr>
      <w:r>
        <w:t>16. Research workflow for the team</w:t>
      </w:r>
    </w:p>
    <w:p>
      <w:r>
        <w:t>1. Learn Indian land administration: parcel, RoR, mutation, registration, EC, cadastral map, survey/subdivision and land use.</w:t>
      </w:r>
    </w:p>
    <w:p>
      <w:r>
        <w:t>2. Study DILRMP: what is implemented, planned and explicitly integrated.</w:t>
      </w:r>
    </w:p>
    <w:p>
      <w:r>
        <w:t>3. Study Ente Bhoomi as a concrete state case.</w:t>
      </w:r>
    </w:p>
    <w:p>
      <w:r>
        <w:t>4. Study NAKSHA, Bhu-Naksha and ULPIN workflows.</w:t>
      </w:r>
    </w:p>
    <w:p>
      <w:r>
        <w:t>5. Trace one real parcel end-to-end: state identifier → cadastral geometry → CRS/geolocation → RoR → registration/EC → ULPIN if available.</w:t>
      </w:r>
    </w:p>
    <w:p>
      <w:r>
        <w:t>6. Compare at least 2–3 states to find real differences.</w:t>
      </w:r>
    </w:p>
    <w:p>
      <w:r>
        <w:t>7. Identify a measurable failure point.</w:t>
      </w:r>
    </w:p>
    <w:p>
      <w:r>
        <w:t>8. Design a canonical parcel model and adapter/API architecture.</w:t>
      </w:r>
    </w:p>
    <w:p>
      <w:r>
        <w:t>9. Prototype using synthetic ownership/legal data where restricted real data is unavailable.</w:t>
      </w:r>
    </w:p>
    <w:p>
      <w:r>
        <w:t>10. Validate on parcel lifecycle and inconsistency scenarios.</w:t>
      </w:r>
    </w:p>
    <w:p>
      <w:pPr>
        <w:pStyle w:val="Heading1"/>
      </w:pPr>
      <w:r>
        <w:t>17. Technical direction</w:t>
      </w:r>
    </w:p>
    <w:p>
      <w:r>
        <w:t>The supplied SIH assessment has strong alignment with Python, AI/ML, backend, REST APIs, SQL/databases, web applications, data analysis and GIS. A practical prototype can therefore use PostgreSQL/PostGIS, Python or Node backend services, REST APIs, GIS web rendering and an integration/adapter layer.</w:t>
      </w:r>
    </w:p>
    <w:p/>
    <w:p>
      <w:r>
        <w:t>AI should sit downstream of the data foundation. Candidate uses are document extraction, RAG/search, anomaly explanation and natural-language parcel queries. AI should not replace authoritative identity, geometry or source provenance.</w:t>
      </w:r>
    </w:p>
    <w:p>
      <w:pPr>
        <w:pStyle w:val="Heading1"/>
      </w:pPr>
      <w:r>
        <w:t>18. Supplied SIH assessment</w:t>
      </w:r>
    </w:p>
    <w:p>
      <w:r>
        <w:t>The supplied row rates the problem as: Research scope — Very High; feasibility — Moderate; research availability — Strong; official/state APIs — Some; state/web GIS portals — Yes; academic GIS/remote-sensing datasets — Yes; synthetic parcel/ownership data — Yes; ownership/legal records — often restricted or state-specific.</w:t>
      </w:r>
    </w:p>
    <w:p/>
    <w:p>
      <w:r>
        <w:t>It gives 9.5/10 for research availability/quality, labels the problem Excellent, estimates 60–140 teams / 360–840 students and Moderate competition, and supplies overall scores of 8, 9 and 9.03.</w:t>
      </w:r>
    </w:p>
    <w:p/>
    <w:p>
      <w:r>
        <w:t>These are the supplied assessment values, not independently re-verified estimates.</w:t>
      </w:r>
    </w:p>
    <w:p>
      <w:pPr>
        <w:pStyle w:val="Heading1"/>
      </w:pPr>
      <w:r>
        <w:t>19. Risks</w:t>
      </w:r>
    </w:p>
    <w:p>
      <w:r>
        <w:t>Main risks:</w:t>
      </w:r>
    </w:p>
    <w:p>
      <w:r>
        <w:t>• scope creep into rebuilding every land service;</w:t>
      </w:r>
    </w:p>
    <w:p>
      <w:r>
        <w:t>• restricted real ownership/legal records;</w:t>
      </w:r>
    </w:p>
    <w:p>
      <w:r>
        <w:t>• uncertain government API access;</w:t>
      </w:r>
    </w:p>
    <w:p>
      <w:r>
        <w:t>• GIS CRS/legacy cadastral complexity;</w:t>
      </w:r>
    </w:p>
    <w:p>
      <w:r>
        <w:t>• difficult validation without ground truth;</w:t>
      </w:r>
    </w:p>
    <w:p>
      <w:r>
        <w:t>• state-specific legal/administrative semantics;</w:t>
      </w:r>
    </w:p>
    <w:p>
      <w:r>
        <w:t>• confusing an interoperability prototype with a legally authoritative title system.</w:t>
      </w:r>
    </w:p>
    <w:p>
      <w:pPr>
        <w:pStyle w:val="Heading1"/>
      </w:pPr>
      <w:r>
        <w:t>20. The central thesis</w:t>
      </w:r>
    </w:p>
    <w:p>
      <w:r>
        <w:t>The problem is not “Where is India's land data?” There is already substantial data, digitization and modernization.</w:t>
      </w:r>
    </w:p>
    <w:p/>
    <w:p>
      <w:r>
        <w:t>The deeper problem is:</w:t>
      </w:r>
    </w:p>
    <w:p>
      <w:r>
        <w:t>Can different land systems identify, locate, describe, update and exchange information about the SAME PHYSICAL PARCEL in a consistent, traceable and interoperable way?</w:t>
      </w:r>
    </w:p>
    <w:p/>
    <w:p>
      <w:r>
        <w:t>That leads to the strongest framing:</w:t>
      </w:r>
    </w:p>
    <w:p>
      <w:r>
        <w:t>A parcel-centric national interoperability/DPI layer that standardizes meaning and identity while allowing state systems to remain authoritative.</w:t>
      </w:r>
    </w:p>
    <w:p>
      <w:pPr>
        <w:pStyle w:val="Heading1"/>
      </w:pPr>
      <w:r>
        <w:t>21. Key terms</w:t>
      </w:r>
    </w:p>
    <w:p>
      <w:r>
        <w:t>Parcel — defined physical piece of land; not a fixed size and not synonymous with an owner.</w:t>
      </w:r>
    </w:p>
    <w:p>
      <w:r>
        <w:t>Polygon — GIS representation of a parcel boundary using ordered coordinates.</w:t>
      </w:r>
    </w:p>
    <w:p>
      <w:r>
        <w:t>Survey number — cadastral identifier; not the geometry itself.</w:t>
      </w:r>
    </w:p>
    <w:p>
      <w:r>
        <w:t>Sub-division — division of a cadastral holding/parcel under applicable rules.</w:t>
      </w:r>
    </w:p>
    <w:p>
      <w:r>
        <w:t>RoR — Record of Rights.</w:t>
      </w:r>
    </w:p>
    <w:p>
      <w:r>
        <w:t>EC — Encumbrance Certificate.</w:t>
      </w:r>
    </w:p>
    <w:p>
      <w:r>
        <w:t>ULPIN — Unique Land Parcel Identification Number.</w:t>
      </w:r>
    </w:p>
    <w:p>
      <w:r>
        <w:t>DILRMP — Digital India Land Records Modernization Programme.</w:t>
      </w:r>
    </w:p>
    <w:p>
      <w:r>
        <w:t>DoLR — Department of Land Resources.</w:t>
      </w:r>
    </w:p>
    <w:p>
      <w:r>
        <w:t>NAKSHA — GIS-integrated urban land-parcel initiative/workstream.</w:t>
      </w:r>
    </w:p>
    <w:p>
      <w:r>
        <w:t>Ente Bhoomi — Kerala integrated land-information/service platform and useful state reference case.</w:t>
      </w:r>
    </w:p>
    <w:p>
      <w:r>
        <w:t>DPI — reusable public digital infrastructure, standards and interfaces rather than merely a portal.</w:t>
      </w:r>
    </w:p>
    <w:p>
      <w:pPr>
        <w:pStyle w:val="Heading1"/>
      </w:pPr>
      <w:r>
        <w:t>22. Source discipline</w:t>
      </w:r>
    </w:p>
    <w:p>
      <w:r>
        <w:t>The supplied SIH row is treated as the baseline assessment. The uploaded Government of Kerala Land Parcel Map is the evidence used for the concrete Survey 49 example. The map identifies Ernakulam, Kanayannur, Thekkumbhagam, Block 356, Survey 49, gives seven coordinates, states 292.94 sq.m and marks the document as a draft copy. These details are directly supported by the uploaded file. fileciteturn0file0L8-L28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