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4"/>
          <w:szCs w:val="24"/>
          <w:color w:val="auto"/>
        </w:rPr>
        <w:t>Page 1: Overview</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8" w:lineRule="exact"/>
        <w:rPr>
          <w:sz w:val="24"/>
          <w:szCs w:val="24"/>
          <w:color w:val="auto"/>
        </w:rPr>
      </w:pPr>
    </w:p>
    <w:p>
      <w:pPr>
        <w:jc w:val="both"/>
        <w:spacing w:after="0" w:line="493" w:lineRule="auto"/>
        <w:rPr>
          <w:sz w:val="20"/>
          <w:szCs w:val="20"/>
          <w:color w:val="auto"/>
        </w:rPr>
      </w:pPr>
      <w:r>
        <w:rPr>
          <w:rFonts w:ascii="Arial" w:cs="Arial" w:eastAsia="Arial" w:hAnsi="Arial"/>
          <w:sz w:val="24"/>
          <w:szCs w:val="24"/>
          <w:color w:val="auto"/>
        </w:rPr>
        <w:t>This report presents a comprehensive analysis of a synthetic financial dataset consisting of 100 fictional companies, each with detailed financial metrics. These include Revenue, Cost of Goods Sold (COGS), Gross Profit, Operating Income, Net Income, Total Assets, Liabilities, Equity, Current Ratio, Debt-to-Equity, and EBITDA.</w:t>
      </w:r>
    </w:p>
    <w:p>
      <w:pPr>
        <w:spacing w:after="0" w:line="200" w:lineRule="exact"/>
        <w:rPr>
          <w:sz w:val="24"/>
          <w:szCs w:val="24"/>
          <w:color w:val="auto"/>
        </w:rPr>
      </w:pPr>
    </w:p>
    <w:p>
      <w:pPr>
        <w:spacing w:after="0" w:line="367" w:lineRule="exact"/>
        <w:rPr>
          <w:sz w:val="24"/>
          <w:szCs w:val="24"/>
          <w:color w:val="auto"/>
        </w:rPr>
      </w:pPr>
    </w:p>
    <w:p>
      <w:pPr>
        <w:jc w:val="both"/>
        <w:spacing w:after="0" w:line="492" w:lineRule="auto"/>
        <w:rPr>
          <w:sz w:val="20"/>
          <w:szCs w:val="20"/>
          <w:color w:val="auto"/>
        </w:rPr>
      </w:pPr>
      <w:r>
        <w:rPr>
          <w:rFonts w:ascii="Arial" w:cs="Arial" w:eastAsia="Arial" w:hAnsi="Arial"/>
          <w:sz w:val="24"/>
          <w:szCs w:val="24"/>
          <w:color w:val="auto"/>
        </w:rPr>
        <w:t>The data spans multiple fiscal years from 2018 to 2024, providing insights into historical financial performance across various industries. This report aims to demonstrate how financial spreading - the process of standardizing financial data for analysis - can be used to draw conclusions about financial health, liquidity, and risk exposure.</w:t>
      </w:r>
    </w:p>
    <w:p>
      <w:pPr>
        <w:spacing w:after="0" w:line="200" w:lineRule="exact"/>
        <w:rPr>
          <w:sz w:val="24"/>
          <w:szCs w:val="24"/>
          <w:color w:val="auto"/>
        </w:rPr>
      </w:pPr>
    </w:p>
    <w:p>
      <w:pPr>
        <w:spacing w:after="0" w:line="372" w:lineRule="exact"/>
        <w:rPr>
          <w:sz w:val="24"/>
          <w:szCs w:val="24"/>
          <w:color w:val="auto"/>
        </w:rPr>
      </w:pPr>
    </w:p>
    <w:p>
      <w:pPr>
        <w:jc w:val="both"/>
        <w:spacing w:after="0" w:line="493" w:lineRule="auto"/>
        <w:rPr>
          <w:sz w:val="20"/>
          <w:szCs w:val="20"/>
          <w:color w:val="auto"/>
        </w:rPr>
      </w:pPr>
      <w:r>
        <w:rPr>
          <w:rFonts w:ascii="Arial" w:cs="Arial" w:eastAsia="Arial" w:hAnsi="Arial"/>
          <w:sz w:val="24"/>
          <w:szCs w:val="24"/>
          <w:color w:val="auto"/>
        </w:rPr>
        <w:t>Financial spreading is essential in corporate finance, banking, and investment management. It transforms unstructured financial data into a structured format, allowing for comparative analysis, credit risk evaluation, and automation of decision-making pipelines.</w:t>
      </w:r>
    </w:p>
    <w:p>
      <w:pPr>
        <w:spacing w:after="0" w:line="200" w:lineRule="exact"/>
        <w:rPr>
          <w:sz w:val="24"/>
          <w:szCs w:val="24"/>
          <w:color w:val="auto"/>
        </w:rPr>
      </w:pPr>
    </w:p>
    <w:p>
      <w:pPr>
        <w:spacing w:after="0" w:line="367" w:lineRule="exact"/>
        <w:rPr>
          <w:sz w:val="24"/>
          <w:szCs w:val="24"/>
          <w:color w:val="auto"/>
        </w:rPr>
      </w:pPr>
    </w:p>
    <w:p>
      <w:pPr>
        <w:jc w:val="both"/>
        <w:spacing w:after="0" w:line="493" w:lineRule="auto"/>
        <w:rPr>
          <w:sz w:val="20"/>
          <w:szCs w:val="20"/>
          <w:color w:val="auto"/>
        </w:rPr>
      </w:pPr>
      <w:r>
        <w:rPr>
          <w:rFonts w:ascii="Arial" w:cs="Arial" w:eastAsia="Arial" w:hAnsi="Arial"/>
          <w:sz w:val="24"/>
          <w:szCs w:val="24"/>
          <w:color w:val="auto"/>
        </w:rPr>
        <w:t>In this simulated scenario, the fictional companies represent diverse sectors and revenue scales, reflecting real-world variability in financial performance and capital structure. The report is divided into several sections, each focusing on a specific component of financial analysis.</w:t>
      </w:r>
    </w:p>
    <w:p>
      <w:pPr>
        <w:sectPr>
          <w:pgSz w:w="11900" w:h="16838" w:orient="portrait"/>
          <w:cols w:equalWidth="0" w:num="1">
            <w:col w:w="10660"/>
          </w:cols>
          <w:pgMar w:left="620" w:top="700" w:right="626" w:bottom="1440" w:gutter="0" w:footer="0" w:header="0"/>
        </w:sectPr>
      </w:pPr>
    </w:p>
    <w:bookmarkStart w:id="1" w:name="page2"/>
    <w:bookmarkEnd w:id="1"/>
    <w:p>
      <w:pPr>
        <w:spacing w:after="0"/>
        <w:rPr>
          <w:sz w:val="20"/>
          <w:szCs w:val="20"/>
          <w:color w:val="auto"/>
        </w:rPr>
      </w:pPr>
      <w:r>
        <w:rPr>
          <w:rFonts w:ascii="Arial" w:cs="Arial" w:eastAsia="Arial" w:hAnsi="Arial"/>
          <w:sz w:val="24"/>
          <w:szCs w:val="24"/>
          <w:color w:val="auto"/>
        </w:rPr>
        <w:t>Page 2: Income Statement Analysis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line="493" w:lineRule="auto"/>
        <w:rPr>
          <w:sz w:val="20"/>
          <w:szCs w:val="20"/>
          <w:color w:val="auto"/>
        </w:rPr>
      </w:pPr>
      <w:r>
        <w:rPr>
          <w:rFonts w:ascii="Arial" w:cs="Arial" w:eastAsia="Arial" w:hAnsi="Arial"/>
          <w:sz w:val="24"/>
          <w:szCs w:val="24"/>
          <w:color w:val="auto"/>
        </w:rPr>
        <w:t>The income statement metrics offer a view of each company's operational efficiency and profitability. Revenue across the dataset ranges from $5 million to over $500 million, with an average around $230,342,291. The variability in revenue reflects different market sizes and business models.</w:t>
      </w:r>
    </w:p>
    <w:p>
      <w:pPr>
        <w:spacing w:after="0" w:line="200" w:lineRule="exact"/>
        <w:rPr>
          <w:sz w:val="20"/>
          <w:szCs w:val="20"/>
          <w:color w:val="auto"/>
        </w:rPr>
      </w:pPr>
    </w:p>
    <w:p>
      <w:pPr>
        <w:spacing w:after="0" w:line="367" w:lineRule="exact"/>
        <w:rPr>
          <w:sz w:val="20"/>
          <w:szCs w:val="20"/>
          <w:color w:val="auto"/>
        </w:rPr>
      </w:pPr>
    </w:p>
    <w:p>
      <w:pPr>
        <w:jc w:val="both"/>
        <w:ind w:right="140"/>
        <w:spacing w:after="0" w:line="493" w:lineRule="auto"/>
        <w:rPr>
          <w:sz w:val="20"/>
          <w:szCs w:val="20"/>
          <w:color w:val="auto"/>
        </w:rPr>
      </w:pPr>
      <w:r>
        <w:rPr>
          <w:rFonts w:ascii="Arial" w:cs="Arial" w:eastAsia="Arial" w:hAnsi="Arial"/>
          <w:sz w:val="24"/>
          <w:szCs w:val="24"/>
          <w:color w:val="auto"/>
        </w:rPr>
        <w:t>Cost of Goods Sold (COGS) typically comprises 40% to 80% of revenue, indicating operational efficiency and supply chain management. Gross Profit, calculated as Revenue minus COGS, highlights the amount available to cover overheads and generate profits.</w:t>
      </w:r>
    </w:p>
    <w:p>
      <w:pPr>
        <w:spacing w:after="0" w:line="200" w:lineRule="exact"/>
        <w:rPr>
          <w:sz w:val="20"/>
          <w:szCs w:val="20"/>
          <w:color w:val="auto"/>
        </w:rPr>
      </w:pPr>
    </w:p>
    <w:p>
      <w:pPr>
        <w:spacing w:after="0" w:line="367" w:lineRule="exact"/>
        <w:rPr>
          <w:sz w:val="20"/>
          <w:szCs w:val="20"/>
          <w:color w:val="auto"/>
        </w:rPr>
      </w:pPr>
    </w:p>
    <w:p>
      <w:pPr>
        <w:jc w:val="both"/>
        <w:ind w:right="140"/>
        <w:spacing w:after="0" w:line="493" w:lineRule="auto"/>
        <w:rPr>
          <w:sz w:val="20"/>
          <w:szCs w:val="20"/>
          <w:color w:val="auto"/>
        </w:rPr>
      </w:pPr>
      <w:r>
        <w:rPr>
          <w:rFonts w:ascii="Arial" w:cs="Arial" w:eastAsia="Arial" w:hAnsi="Arial"/>
          <w:sz w:val="24"/>
          <w:szCs w:val="24"/>
          <w:color w:val="auto"/>
        </w:rPr>
        <w:t>Operating Expenses further reduce profitability and vary significantly between companies. The average Operating Income - which reflects earnings before interest and taxes - is around $51,765,770. This metric is crucial for comparing core business performance, independent of financing decisions or tax environments.</w:t>
      </w:r>
    </w:p>
    <w:p>
      <w:pPr>
        <w:spacing w:after="0" w:line="200" w:lineRule="exact"/>
        <w:rPr>
          <w:sz w:val="20"/>
          <w:szCs w:val="20"/>
          <w:color w:val="auto"/>
        </w:rPr>
      </w:pPr>
    </w:p>
    <w:p>
      <w:pPr>
        <w:spacing w:after="0" w:line="367" w:lineRule="exact"/>
        <w:rPr>
          <w:sz w:val="20"/>
          <w:szCs w:val="20"/>
          <w:color w:val="auto"/>
        </w:rPr>
      </w:pPr>
    </w:p>
    <w:p>
      <w:pPr>
        <w:spacing w:after="0" w:line="493" w:lineRule="auto"/>
        <w:rPr>
          <w:sz w:val="20"/>
          <w:szCs w:val="20"/>
          <w:color w:val="auto"/>
        </w:rPr>
      </w:pPr>
      <w:r>
        <w:rPr>
          <w:rFonts w:ascii="Arial" w:cs="Arial" w:eastAsia="Arial" w:hAnsi="Arial"/>
          <w:sz w:val="24"/>
          <w:szCs w:val="24"/>
          <w:color w:val="auto"/>
        </w:rPr>
        <w:t>Net Income is the final profit figure and includes all deductions, such as interest expenses. This is the bottom line and a critical figure for stakeholders assessing a firm's financial success. The average Net Income in the dataset is approximately $45,231,198, suggesting healthy performance on average across the portfolio.</w:t>
      </w:r>
    </w:p>
    <w:p>
      <w:pPr>
        <w:sectPr>
          <w:pgSz w:w="11900" w:h="16838" w:orient="portrait"/>
          <w:cols w:equalWidth="0" w:num="1">
            <w:col w:w="10800"/>
          </w:cols>
          <w:pgMar w:left="620" w:top="700" w:right="486" w:bottom="1440" w:gutter="0" w:footer="0" w:header="0"/>
        </w:sectPr>
      </w:pPr>
    </w:p>
    <w:bookmarkStart w:id="2" w:name="page3"/>
    <w:bookmarkEnd w:id="2"/>
    <w:p>
      <w:pPr>
        <w:spacing w:after="0"/>
        <w:rPr>
          <w:sz w:val="20"/>
          <w:szCs w:val="20"/>
          <w:color w:val="auto"/>
        </w:rPr>
      </w:pPr>
      <w:r>
        <w:rPr>
          <w:rFonts w:ascii="Arial" w:cs="Arial" w:eastAsia="Arial" w:hAnsi="Arial"/>
          <w:sz w:val="24"/>
          <w:szCs w:val="24"/>
          <w:color w:val="auto"/>
        </w:rPr>
        <w:t>Page 3: Balance Sheet Analysis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line="493" w:lineRule="auto"/>
        <w:rPr>
          <w:sz w:val="20"/>
          <w:szCs w:val="20"/>
          <w:color w:val="auto"/>
        </w:rPr>
      </w:pPr>
      <w:r>
        <w:rPr>
          <w:rFonts w:ascii="Arial" w:cs="Arial" w:eastAsia="Arial" w:hAnsi="Arial"/>
          <w:sz w:val="24"/>
          <w:szCs w:val="24"/>
          <w:color w:val="auto"/>
        </w:rPr>
        <w:t>The balance sheet provides a snapshot of each company's financial position. Total Assets average around $483,148,212, indicating the scale of company operations. Assets include cash, receivables, inventory, and fixed assets such as property or equipment.</w:t>
      </w:r>
    </w:p>
    <w:p>
      <w:pPr>
        <w:spacing w:after="0" w:line="200" w:lineRule="exact"/>
        <w:rPr>
          <w:sz w:val="20"/>
          <w:szCs w:val="20"/>
          <w:color w:val="auto"/>
        </w:rPr>
      </w:pPr>
    </w:p>
    <w:p>
      <w:pPr>
        <w:spacing w:after="0" w:line="367" w:lineRule="exact"/>
        <w:rPr>
          <w:sz w:val="20"/>
          <w:szCs w:val="20"/>
          <w:color w:val="auto"/>
        </w:rPr>
      </w:pPr>
    </w:p>
    <w:p>
      <w:pPr>
        <w:spacing w:after="0" w:line="493" w:lineRule="auto"/>
        <w:rPr>
          <w:sz w:val="20"/>
          <w:szCs w:val="20"/>
          <w:color w:val="auto"/>
        </w:rPr>
      </w:pPr>
      <w:r>
        <w:rPr>
          <w:rFonts w:ascii="Arial" w:cs="Arial" w:eastAsia="Arial" w:hAnsi="Arial"/>
          <w:sz w:val="24"/>
          <w:szCs w:val="24"/>
          <w:color w:val="auto"/>
        </w:rPr>
        <w:t>Total Liabilities represent debts and obligations. On average, these amount to $248,546,167, which helps assess the overall risk and leverage. Equity is the residual interest in the company's assets after deducting liabilities, averaging $234,602,045 across companies in the dataset.</w:t>
      </w:r>
    </w:p>
    <w:p>
      <w:pPr>
        <w:spacing w:after="0" w:line="200" w:lineRule="exact"/>
        <w:rPr>
          <w:sz w:val="20"/>
          <w:szCs w:val="20"/>
          <w:color w:val="auto"/>
        </w:rPr>
      </w:pPr>
    </w:p>
    <w:p>
      <w:pPr>
        <w:spacing w:after="0" w:line="367" w:lineRule="exact"/>
        <w:rPr>
          <w:sz w:val="20"/>
          <w:szCs w:val="20"/>
          <w:color w:val="auto"/>
        </w:rPr>
      </w:pPr>
    </w:p>
    <w:p>
      <w:pPr>
        <w:jc w:val="both"/>
        <w:ind w:right="140"/>
        <w:spacing w:after="0" w:line="493" w:lineRule="auto"/>
        <w:rPr>
          <w:sz w:val="20"/>
          <w:szCs w:val="20"/>
          <w:color w:val="auto"/>
        </w:rPr>
      </w:pPr>
      <w:r>
        <w:rPr>
          <w:rFonts w:ascii="Arial" w:cs="Arial" w:eastAsia="Arial" w:hAnsi="Arial"/>
          <w:sz w:val="24"/>
          <w:szCs w:val="24"/>
          <w:color w:val="auto"/>
        </w:rPr>
        <w:t>One key indicator derived from these figures is the Debt-to-Equity Ratio, which averages 1.15. A higher value may indicate riskier financial structures, while lower values suggest more conservative capital use. Similarly, the Current Ratio, averaging 6.33, measures liquidity and the ability to meet short-term obligations. A ratio above 1.0 generally indicates sound liquidity.</w:t>
      </w:r>
    </w:p>
    <w:p>
      <w:pPr>
        <w:spacing w:after="0" w:line="200" w:lineRule="exact"/>
        <w:rPr>
          <w:sz w:val="20"/>
          <w:szCs w:val="20"/>
          <w:color w:val="auto"/>
        </w:rPr>
      </w:pPr>
    </w:p>
    <w:p>
      <w:pPr>
        <w:spacing w:after="0" w:line="367" w:lineRule="exact"/>
        <w:rPr>
          <w:sz w:val="20"/>
          <w:szCs w:val="20"/>
          <w:color w:val="auto"/>
        </w:rPr>
      </w:pPr>
    </w:p>
    <w:p>
      <w:pPr>
        <w:jc w:val="both"/>
        <w:ind w:right="140"/>
        <w:spacing w:after="0" w:line="493" w:lineRule="auto"/>
        <w:rPr>
          <w:sz w:val="20"/>
          <w:szCs w:val="20"/>
          <w:color w:val="auto"/>
        </w:rPr>
      </w:pPr>
      <w:r>
        <w:rPr>
          <w:rFonts w:ascii="Arial" w:cs="Arial" w:eastAsia="Arial" w:hAnsi="Arial"/>
          <w:sz w:val="24"/>
          <w:szCs w:val="24"/>
          <w:color w:val="auto"/>
        </w:rPr>
        <w:t>Together, these metrics inform analysts about financial stability, risk of default, and capital efficiency. Variations across the dataset mirror those seen in real-world finance, where capital-intensive firms show higher leverage while tech firms may favor equity financing.</w:t>
      </w:r>
    </w:p>
    <w:p>
      <w:pPr>
        <w:sectPr>
          <w:pgSz w:w="11900" w:h="16838" w:orient="portrait"/>
          <w:cols w:equalWidth="0" w:num="1">
            <w:col w:w="10800"/>
          </w:cols>
          <w:pgMar w:left="620" w:top="700" w:right="486" w:bottom="1440" w:gutter="0" w:footer="0" w:header="0"/>
        </w:sectPr>
      </w:pPr>
    </w:p>
    <w:bookmarkStart w:id="3" w:name="page4"/>
    <w:bookmarkEnd w:id="3"/>
    <w:p>
      <w:pPr>
        <w:spacing w:after="0"/>
        <w:rPr>
          <w:sz w:val="20"/>
          <w:szCs w:val="20"/>
          <w:color w:val="auto"/>
        </w:rPr>
      </w:pPr>
      <w:r>
        <w:rPr>
          <w:rFonts w:ascii="Arial" w:cs="Arial" w:eastAsia="Arial" w:hAnsi="Arial"/>
          <w:sz w:val="24"/>
          <w:szCs w:val="24"/>
          <w:color w:val="auto"/>
        </w:rPr>
        <w:t>Page 4: Performance Ratios and Insights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spacing w:after="0" w:line="493" w:lineRule="auto"/>
        <w:rPr>
          <w:sz w:val="20"/>
          <w:szCs w:val="20"/>
          <w:color w:val="auto"/>
        </w:rPr>
      </w:pPr>
      <w:r>
        <w:rPr>
          <w:rFonts w:ascii="Arial" w:cs="Arial" w:eastAsia="Arial" w:hAnsi="Arial"/>
          <w:sz w:val="24"/>
          <w:szCs w:val="24"/>
          <w:color w:val="auto"/>
        </w:rPr>
        <w:t>EBITDA - Earnings Before Interest, Taxes, Depreciation, and Amortization - is a widely used proxy for cash operating performance. The average EBITDA of $54,331,248 in the dataset suggests strong recurring earnings before non-cash and financing costs.</w:t>
      </w:r>
    </w:p>
    <w:p>
      <w:pPr>
        <w:spacing w:after="0" w:line="200" w:lineRule="exact"/>
        <w:rPr>
          <w:sz w:val="20"/>
          <w:szCs w:val="20"/>
          <w:color w:val="auto"/>
        </w:rPr>
      </w:pPr>
    </w:p>
    <w:p>
      <w:pPr>
        <w:spacing w:after="0" w:line="367" w:lineRule="exact"/>
        <w:rPr>
          <w:sz w:val="20"/>
          <w:szCs w:val="20"/>
          <w:color w:val="auto"/>
        </w:rPr>
      </w:pPr>
    </w:p>
    <w:p>
      <w:pPr>
        <w:jc w:val="both"/>
        <w:spacing w:after="0" w:line="493" w:lineRule="auto"/>
        <w:rPr>
          <w:sz w:val="20"/>
          <w:szCs w:val="20"/>
          <w:color w:val="auto"/>
        </w:rPr>
      </w:pPr>
      <w:r>
        <w:rPr>
          <w:rFonts w:ascii="Arial" w:cs="Arial" w:eastAsia="Arial" w:hAnsi="Arial"/>
          <w:sz w:val="24"/>
          <w:szCs w:val="24"/>
          <w:color w:val="auto"/>
        </w:rPr>
        <w:t>The Debt-to-Equity ratio, again averaging 1.15, helps analysts understand the relative contribution of debt and equity in funding operations. A higher ratio may increase financial risk, especially in downturns, though it can also amplify returns when managed well.</w:t>
      </w:r>
    </w:p>
    <w:p>
      <w:pPr>
        <w:spacing w:after="0" w:line="200" w:lineRule="exact"/>
        <w:rPr>
          <w:sz w:val="20"/>
          <w:szCs w:val="20"/>
          <w:color w:val="auto"/>
        </w:rPr>
      </w:pPr>
    </w:p>
    <w:p>
      <w:pPr>
        <w:spacing w:after="0" w:line="367" w:lineRule="exact"/>
        <w:rPr>
          <w:sz w:val="20"/>
          <w:szCs w:val="20"/>
          <w:color w:val="auto"/>
        </w:rPr>
      </w:pPr>
    </w:p>
    <w:p>
      <w:pPr>
        <w:jc w:val="both"/>
        <w:spacing w:after="0" w:line="492" w:lineRule="auto"/>
        <w:rPr>
          <w:sz w:val="20"/>
          <w:szCs w:val="20"/>
          <w:color w:val="auto"/>
        </w:rPr>
      </w:pPr>
      <w:r>
        <w:rPr>
          <w:rFonts w:ascii="Arial" w:cs="Arial" w:eastAsia="Arial" w:hAnsi="Arial"/>
          <w:sz w:val="24"/>
          <w:szCs w:val="24"/>
          <w:color w:val="auto"/>
        </w:rPr>
        <w:t>The Current Ratio average of 6.33 confirms that most companies maintain sufficient liquidity. Firms with ratios below 1.0 may struggle to meet short-term obligations, which can signal financial distress or aggressive growth strategies.</w:t>
      </w:r>
    </w:p>
    <w:p>
      <w:pPr>
        <w:spacing w:after="0" w:line="200" w:lineRule="exact"/>
        <w:rPr>
          <w:sz w:val="20"/>
          <w:szCs w:val="20"/>
          <w:color w:val="auto"/>
        </w:rPr>
      </w:pPr>
    </w:p>
    <w:p>
      <w:pPr>
        <w:spacing w:after="0" w:line="370" w:lineRule="exact"/>
        <w:rPr>
          <w:sz w:val="20"/>
          <w:szCs w:val="20"/>
          <w:color w:val="auto"/>
        </w:rPr>
      </w:pPr>
    </w:p>
    <w:p>
      <w:pPr>
        <w:jc w:val="both"/>
        <w:spacing w:after="0" w:line="493" w:lineRule="auto"/>
        <w:rPr>
          <w:sz w:val="20"/>
          <w:szCs w:val="20"/>
          <w:color w:val="auto"/>
        </w:rPr>
      </w:pPr>
      <w:r>
        <w:rPr>
          <w:rFonts w:ascii="Arial" w:cs="Arial" w:eastAsia="Arial" w:hAnsi="Arial"/>
          <w:sz w:val="24"/>
          <w:szCs w:val="24"/>
          <w:color w:val="auto"/>
        </w:rPr>
        <w:t>These ratios help classify firms into risk tiers, design lending terms, or flag candidates for deeper due diligence. Credit analysts, portfolio managers, and underwriters often use such spreads to make fast yet informed decisions.</w:t>
      </w:r>
    </w:p>
    <w:p>
      <w:pPr>
        <w:sectPr>
          <w:pgSz w:w="11900" w:h="16838" w:orient="portrait"/>
          <w:cols w:equalWidth="0" w:num="1">
            <w:col w:w="10660"/>
          </w:cols>
          <w:pgMar w:left="620" w:top="700" w:right="626" w:bottom="1440" w:gutter="0" w:footer="0" w:header="0"/>
        </w:sectPr>
      </w:pPr>
    </w:p>
    <w:bookmarkStart w:id="4" w:name="page5"/>
    <w:bookmarkEnd w:id="4"/>
    <w:p>
      <w:pPr>
        <w:spacing w:after="0"/>
        <w:rPr>
          <w:sz w:val="20"/>
          <w:szCs w:val="20"/>
          <w:color w:val="auto"/>
        </w:rPr>
      </w:pPr>
      <w:r>
        <w:rPr>
          <w:rFonts w:ascii="Arial" w:cs="Arial" w:eastAsia="Arial" w:hAnsi="Arial"/>
          <w:sz w:val="24"/>
          <w:szCs w:val="24"/>
          <w:color w:val="auto"/>
        </w:rPr>
        <w:t>Page 5: Conclusion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spacing w:after="0" w:line="493" w:lineRule="auto"/>
        <w:rPr>
          <w:sz w:val="20"/>
          <w:szCs w:val="20"/>
          <w:color w:val="auto"/>
        </w:rPr>
      </w:pPr>
      <w:r>
        <w:rPr>
          <w:rFonts w:ascii="Arial" w:cs="Arial" w:eastAsia="Arial" w:hAnsi="Arial"/>
          <w:sz w:val="24"/>
          <w:szCs w:val="24"/>
          <w:color w:val="auto"/>
        </w:rPr>
        <w:t>This 5-page report demonstrates how financial spreading provides a structured way to understand the financial standing of companies. By analyzing key income and balance sheet metrics, users can build a detailed profile of profitability, efficiency, leverage, and liquidity.</w:t>
      </w:r>
    </w:p>
    <w:p>
      <w:pPr>
        <w:spacing w:after="0" w:line="200" w:lineRule="exact"/>
        <w:rPr>
          <w:sz w:val="20"/>
          <w:szCs w:val="20"/>
          <w:color w:val="auto"/>
        </w:rPr>
      </w:pPr>
    </w:p>
    <w:p>
      <w:pPr>
        <w:spacing w:after="0" w:line="367" w:lineRule="exact"/>
        <w:rPr>
          <w:sz w:val="20"/>
          <w:szCs w:val="20"/>
          <w:color w:val="auto"/>
        </w:rPr>
      </w:pPr>
    </w:p>
    <w:p>
      <w:pPr>
        <w:jc w:val="both"/>
        <w:spacing w:after="0" w:line="493" w:lineRule="auto"/>
        <w:rPr>
          <w:sz w:val="20"/>
          <w:szCs w:val="20"/>
          <w:color w:val="auto"/>
        </w:rPr>
      </w:pPr>
      <w:r>
        <w:rPr>
          <w:rFonts w:ascii="Arial" w:cs="Arial" w:eastAsia="Arial" w:hAnsi="Arial"/>
          <w:sz w:val="24"/>
          <w:szCs w:val="24"/>
          <w:color w:val="auto"/>
        </w:rPr>
        <w:t>Although the data used in this report is synthetic, it reflects the structure and variability of real-world financials. Such datasets can be valuable in building AI systems, stress-testing risk models, or teaching financial literacy.</w:t>
      </w:r>
    </w:p>
    <w:p>
      <w:pPr>
        <w:sectPr>
          <w:pgSz w:w="11900" w:h="16838" w:orient="portrait"/>
          <w:cols w:equalWidth="0" w:num="1">
            <w:col w:w="10660"/>
          </w:cols>
          <w:pgMar w:left="620" w:top="700" w:right="626" w:bottom="1440" w:gutter="0" w:footer="0" w:header="0"/>
        </w:sectPr>
      </w:pPr>
    </w:p>
    <w:p>
      <w:pPr>
        <w:spacing w:after="0" w:line="200" w:lineRule="exact"/>
        <w:rPr>
          <w:sz w:val="20"/>
          <w:szCs w:val="20"/>
          <w:color w:val="auto"/>
        </w:rPr>
      </w:pPr>
    </w:p>
    <w:p>
      <w:pPr>
        <w:spacing w:after="0" w:line="367" w:lineRule="exact"/>
        <w:rPr>
          <w:sz w:val="20"/>
          <w:szCs w:val="20"/>
          <w:color w:val="auto"/>
        </w:rPr>
      </w:pPr>
    </w:p>
    <w:p>
      <w:pPr>
        <w:spacing w:after="0" w:line="493" w:lineRule="auto"/>
        <w:rPr>
          <w:sz w:val="20"/>
          <w:szCs w:val="20"/>
          <w:color w:val="auto"/>
        </w:rPr>
      </w:pPr>
      <w:r>
        <w:rPr>
          <w:rFonts w:ascii="Arial" w:cs="Arial" w:eastAsia="Arial" w:hAnsi="Arial"/>
          <w:sz w:val="24"/>
          <w:szCs w:val="24"/>
          <w:color w:val="auto"/>
        </w:rPr>
        <w:t>Modern tools now automate spreading, enabling faster banking, private equity, and corporate finance. With the automated extraction and interpretation of financial data accessible.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7" w:lineRule="exact"/>
        <w:rPr>
          <w:sz w:val="20"/>
          <w:szCs w:val="20"/>
          <w:color w:val="auto"/>
        </w:rPr>
      </w:pPr>
    </w:p>
    <w:p>
      <w:pPr>
        <w:jc w:val="right"/>
        <w:spacing w:after="0" w:line="492" w:lineRule="auto"/>
        <w:rPr>
          <w:sz w:val="20"/>
          <w:szCs w:val="20"/>
          <w:color w:val="auto"/>
        </w:rPr>
      </w:pPr>
      <w:r>
        <w:rPr>
          <w:rFonts w:ascii="Arial" w:cs="Arial" w:eastAsia="Arial" w:hAnsi="Arial"/>
          <w:sz w:val="24"/>
          <w:szCs w:val="24"/>
          <w:color w:val="auto"/>
        </w:rPr>
        <w:t>and  more  reliable  decision-making  in rise of LLMs and vector databases, will only become more powerful and</w:t>
      </w:r>
    </w:p>
    <w:p>
      <w:pPr>
        <w:spacing w:after="0" w:line="770" w:lineRule="exact"/>
        <w:rPr>
          <w:sz w:val="20"/>
          <w:szCs w:val="20"/>
          <w:color w:val="auto"/>
        </w:rPr>
      </w:pPr>
    </w:p>
    <w:p>
      <w:pPr>
        <w:sectPr>
          <w:pgSz w:w="11900" w:h="16838" w:orient="portrait"/>
          <w:cols w:equalWidth="0" w:num="2">
            <w:col w:w="6400" w:space="20"/>
            <w:col w:w="4240"/>
          </w:cols>
          <w:pgMar w:left="620" w:top="700" w:right="626" w:bottom="1440" w:gutter="0" w:footer="0" w:header="0"/>
          <w:type w:val="continuous"/>
        </w:sectPr>
      </w:pPr>
    </w:p>
    <w:p>
      <w:pPr>
        <w:spacing w:after="0" w:line="367" w:lineRule="exact"/>
        <w:rPr>
          <w:sz w:val="20"/>
          <w:szCs w:val="20"/>
          <w:color w:val="auto"/>
        </w:rPr>
      </w:pPr>
    </w:p>
    <w:p>
      <w:pPr>
        <w:spacing w:after="0" w:line="493" w:lineRule="auto"/>
        <w:rPr>
          <w:sz w:val="20"/>
          <w:szCs w:val="20"/>
          <w:color w:val="auto"/>
        </w:rPr>
      </w:pPr>
      <w:r>
        <w:rPr>
          <w:rFonts w:ascii="Arial" w:cs="Arial" w:eastAsia="Arial" w:hAnsi="Arial"/>
          <w:sz w:val="24"/>
          <w:szCs w:val="24"/>
          <w:color w:val="auto"/>
        </w:rPr>
        <w:t>Whether used for lending decisions, investment screening, or internal risk controls, financial spreading remains an essential pillar of financial intelligence.</w:t>
      </w:r>
    </w:p>
    <w:sectPr>
      <w:pgSz w:w="11900" w:h="16838" w:orient="portrait"/>
      <w:cols w:equalWidth="0" w:num="1">
        <w:col w:w="10660"/>
      </w:cols>
      <w:pgMar w:left="620" w:top="700" w:right="62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2025-03-24T18:16:16Z</dcterms:created>
  <dcterms:modified xsi:type="dcterms:W3CDTF">2025-03-24T18:16:16Z</dcterms:modified>
</cp:coreProperties>
</file>