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16" w:rsidRPr="001D3609" w:rsidRDefault="00DC5464" w:rsidP="001D3609"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3099714" cy="1116000"/>
            <wp:effectExtent l="0" t="0" r="5715" b="825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IT business gmbh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6" t="14040" b="35643"/>
                    <a:stretch/>
                  </pic:blipFill>
                  <pic:spPr bwMode="auto">
                    <a:xfrm>
                      <a:off x="0" y="0"/>
                      <a:ext cx="3099714" cy="11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A16" w:rsidRPr="0012048C">
        <w:rPr>
          <w:rFonts w:cs="Times New Roman"/>
          <w:szCs w:val="24"/>
          <w:lang w:val="en-US"/>
        </w:rPr>
        <w:t xml:space="preserve">     </w:t>
      </w:r>
      <w:r w:rsidR="001D3609" w:rsidRPr="0012048C">
        <w:rPr>
          <w:rFonts w:cs="Times New Roman"/>
          <w:szCs w:val="24"/>
          <w:lang w:val="en-US"/>
        </w:rPr>
        <w:tab/>
      </w:r>
      <w:r w:rsidR="001D3609" w:rsidRPr="0012048C">
        <w:rPr>
          <w:rFonts w:cs="Times New Roman"/>
          <w:szCs w:val="24"/>
          <w:lang w:val="en-US"/>
        </w:rPr>
        <w:tab/>
      </w:r>
      <w:r w:rsidR="001D3609" w:rsidRPr="0012048C">
        <w:rPr>
          <w:rFonts w:cs="Times New Roman"/>
          <w:szCs w:val="24"/>
          <w:lang w:val="en-US"/>
        </w:rPr>
        <w:tab/>
      </w:r>
      <w:r w:rsidR="001D3609">
        <w:rPr>
          <w:rFonts w:cs="Times New Roman"/>
          <w:szCs w:val="24"/>
          <w:lang w:val="en-US"/>
        </w:rPr>
        <w:tab/>
      </w:r>
      <w:r w:rsidR="001D3609">
        <w:rPr>
          <w:rFonts w:cs="Times New Roman"/>
          <w:szCs w:val="24"/>
          <w:lang w:val="en-US"/>
        </w:rPr>
        <w:tab/>
      </w:r>
      <w:r w:rsidR="001D3609">
        <w:rPr>
          <w:rFonts w:cs="Times New Roman"/>
          <w:szCs w:val="24"/>
          <w:lang w:val="en-US"/>
        </w:rPr>
        <w:tab/>
      </w:r>
      <w:r w:rsidR="001D3609">
        <w:rPr>
          <w:rFonts w:cs="Times New Roman"/>
          <w:szCs w:val="24"/>
          <w:lang w:val="en-US"/>
        </w:rPr>
        <w:tab/>
      </w:r>
      <w:r w:rsidR="001D3609">
        <w:rPr>
          <w:rFonts w:cs="Times New Roman"/>
          <w:szCs w:val="24"/>
          <w:lang w:val="en-US"/>
        </w:rPr>
        <w:tab/>
        <w:t xml:space="preserve">    </w:t>
      </w:r>
      <w:r w:rsidR="001D3609">
        <w:rPr>
          <w:rFonts w:cs="Times New Roman"/>
          <w:szCs w:val="24"/>
          <w:lang w:val="en-US"/>
        </w:rPr>
        <w:tab/>
      </w:r>
      <w:r w:rsidR="0012048C">
        <w:rPr>
          <w:rFonts w:cs="Times New Roman"/>
          <w:szCs w:val="24"/>
          <w:lang w:val="en-US"/>
        </w:rPr>
        <w:t xml:space="preserve">             </w:t>
      </w:r>
      <w:proofErr w:type="spellStart"/>
      <w:r w:rsidR="00127A16" w:rsidRPr="0012048C">
        <w:rPr>
          <w:rFonts w:cs="Times New Roman"/>
          <w:szCs w:val="24"/>
          <w:lang w:val="en-US"/>
        </w:rPr>
        <w:t>runIT</w:t>
      </w:r>
      <w:proofErr w:type="spellEnd"/>
      <w:r w:rsidR="00127A16" w:rsidRPr="0012048C">
        <w:rPr>
          <w:rFonts w:cs="Times New Roman"/>
          <w:szCs w:val="24"/>
          <w:lang w:val="en-US"/>
        </w:rPr>
        <w:t xml:space="preserve"> business GmbH</w:t>
      </w:r>
    </w:p>
    <w:p w:rsidR="001D3609" w:rsidRDefault="0012048C" w:rsidP="001D3609">
      <w:pPr>
        <w:ind w:left="5760" w:firstLine="720"/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         </w:t>
      </w:r>
      <w:proofErr w:type="spellStart"/>
      <w:r w:rsidR="00360372" w:rsidRPr="0012048C">
        <w:rPr>
          <w:rFonts w:cs="Times New Roman"/>
          <w:szCs w:val="24"/>
          <w:lang w:val="en-US"/>
        </w:rPr>
        <w:t>Römerstraße</w:t>
      </w:r>
      <w:proofErr w:type="spellEnd"/>
      <w:r w:rsidR="00360372" w:rsidRPr="0012048C">
        <w:rPr>
          <w:rFonts w:cs="Times New Roman"/>
          <w:szCs w:val="24"/>
          <w:lang w:val="en-US"/>
        </w:rPr>
        <w:t xml:space="preserve"> 7</w:t>
      </w:r>
    </w:p>
    <w:p w:rsidR="001D3609" w:rsidRDefault="0012048C" w:rsidP="001D3609">
      <w:pPr>
        <w:ind w:left="5760" w:firstLine="720"/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         </w:t>
      </w:r>
      <w:r w:rsidR="00360372" w:rsidRPr="0012048C">
        <w:rPr>
          <w:rFonts w:cs="Times New Roman"/>
          <w:szCs w:val="24"/>
          <w:lang w:val="en-US"/>
        </w:rPr>
        <w:t>54295 Trier</w:t>
      </w:r>
    </w:p>
    <w:p w:rsidR="001D3609" w:rsidRDefault="0012048C" w:rsidP="001D3609">
      <w:pPr>
        <w:ind w:left="5760" w:firstLine="720"/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         </w:t>
      </w:r>
      <w:r w:rsidR="00360372" w:rsidRPr="0012048C">
        <w:rPr>
          <w:rFonts w:cs="Times New Roman"/>
          <w:szCs w:val="24"/>
          <w:lang w:val="en-US"/>
        </w:rPr>
        <w:t>Tel.: 0651 / 99 55 60</w:t>
      </w:r>
    </w:p>
    <w:p w:rsidR="00360372" w:rsidRPr="001D3609" w:rsidRDefault="0012048C" w:rsidP="001D3609">
      <w:pPr>
        <w:ind w:left="5760" w:firstLine="720"/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         </w:t>
      </w:r>
      <w:r w:rsidR="00127A16" w:rsidRPr="0012048C">
        <w:rPr>
          <w:rFonts w:cs="Times New Roman"/>
          <w:szCs w:val="24"/>
          <w:lang w:val="en-US"/>
        </w:rPr>
        <w:t>Fax: 0651 / 99 55 61</w:t>
      </w:r>
    </w:p>
    <w:p w:rsidR="00360372" w:rsidRPr="0012048C" w:rsidRDefault="00360372" w:rsidP="00127A16">
      <w:pPr>
        <w:contextualSpacing/>
        <w:rPr>
          <w:rFonts w:cs="Times New Roman"/>
          <w:szCs w:val="24"/>
          <w:lang w:val="en-US"/>
        </w:rPr>
      </w:pP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="0012048C">
        <w:rPr>
          <w:rFonts w:cs="Times New Roman"/>
          <w:szCs w:val="24"/>
          <w:lang w:val="en-US"/>
        </w:rPr>
        <w:t xml:space="preserve">             </w:t>
      </w:r>
      <w:r w:rsidRPr="0012048C">
        <w:rPr>
          <w:rFonts w:cs="Times New Roman"/>
          <w:szCs w:val="24"/>
          <w:lang w:val="en-US"/>
        </w:rPr>
        <w:t xml:space="preserve">Mail: </w:t>
      </w:r>
      <w:hyperlink r:id="rId7" w:history="1">
        <w:r w:rsidRPr="0012048C">
          <w:rPr>
            <w:rStyle w:val="Hyperlink"/>
            <w:rFonts w:cs="Times New Roman"/>
            <w:szCs w:val="24"/>
            <w:lang w:val="en-US"/>
          </w:rPr>
          <w:t>info@runit.de</w:t>
        </w:r>
      </w:hyperlink>
    </w:p>
    <w:p w:rsidR="001D3609" w:rsidRPr="0012048C" w:rsidRDefault="001D3609" w:rsidP="00127A16">
      <w:pPr>
        <w:contextualSpacing/>
        <w:rPr>
          <w:rFonts w:cs="Times New Roman"/>
          <w:szCs w:val="24"/>
        </w:rPr>
      </w:pP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Pr="0012048C">
        <w:rPr>
          <w:rFonts w:cs="Times New Roman"/>
          <w:szCs w:val="24"/>
          <w:lang w:val="en-US"/>
        </w:rPr>
        <w:tab/>
      </w:r>
      <w:r w:rsidR="0012048C">
        <w:rPr>
          <w:rFonts w:cs="Times New Roman"/>
          <w:szCs w:val="24"/>
          <w:lang w:val="en-US"/>
        </w:rPr>
        <w:t xml:space="preserve">             </w:t>
      </w:r>
      <w:hyperlink r:id="rId8" w:history="1">
        <w:r w:rsidRPr="00E51399">
          <w:rPr>
            <w:rStyle w:val="Hyperlink"/>
            <w:rFonts w:cs="Times New Roman"/>
            <w:szCs w:val="24"/>
          </w:rPr>
          <w:t>www.runit.de</w:t>
        </w:r>
      </w:hyperlink>
      <w:r>
        <w:rPr>
          <w:rFonts w:cs="Times New Roman"/>
          <w:szCs w:val="24"/>
        </w:rPr>
        <w:tab/>
      </w:r>
    </w:p>
    <w:p w:rsidR="00360372" w:rsidRPr="0012048C" w:rsidRDefault="00360372" w:rsidP="00360372">
      <w:pPr>
        <w:contextualSpacing/>
        <w:rPr>
          <w:rFonts w:cs="Times New Roman"/>
          <w:szCs w:val="24"/>
        </w:rPr>
      </w:pPr>
    </w:p>
    <w:p w:rsidR="001D3609" w:rsidRPr="0012048C" w:rsidRDefault="001D3609" w:rsidP="00360372">
      <w:pPr>
        <w:contextualSpacing/>
        <w:rPr>
          <w:rFonts w:cs="Times New Roman"/>
          <w:szCs w:val="24"/>
        </w:rPr>
      </w:pPr>
    </w:p>
    <w:p w:rsidR="00360372" w:rsidRPr="0012048C" w:rsidRDefault="00360372" w:rsidP="00360372">
      <w:pPr>
        <w:contextualSpacing/>
        <w:rPr>
          <w:rFonts w:cs="Times New Roman"/>
          <w:szCs w:val="24"/>
        </w:rPr>
      </w:pPr>
      <w:r w:rsidRPr="0012048C">
        <w:rPr>
          <w:rFonts w:cs="Times New Roman"/>
          <w:szCs w:val="24"/>
        </w:rPr>
        <w:t>Universität Trier</w:t>
      </w:r>
    </w:p>
    <w:p w:rsidR="00360372" w:rsidRDefault="00360372" w:rsidP="00360372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z.Hd.: Dr. habil. Axel </w:t>
      </w:r>
      <w:proofErr w:type="spellStart"/>
      <w:r>
        <w:rPr>
          <w:rFonts w:cs="Times New Roman"/>
          <w:szCs w:val="24"/>
        </w:rPr>
        <w:t>Kalenborn</w:t>
      </w:r>
      <w:proofErr w:type="spellEnd"/>
      <w:r>
        <w:rPr>
          <w:rFonts w:cs="Times New Roman"/>
          <w:szCs w:val="24"/>
        </w:rPr>
        <w:t xml:space="preserve"> &amp; M. Sc. </w:t>
      </w:r>
      <w:proofErr w:type="spellStart"/>
      <w:r>
        <w:rPr>
          <w:rFonts w:cs="Times New Roman"/>
          <w:szCs w:val="24"/>
        </w:rPr>
        <w:t>Colja</w:t>
      </w:r>
      <w:proofErr w:type="spellEnd"/>
      <w:r>
        <w:rPr>
          <w:rFonts w:cs="Times New Roman"/>
          <w:szCs w:val="24"/>
        </w:rPr>
        <w:t xml:space="preserve"> Becker</w:t>
      </w:r>
    </w:p>
    <w:p w:rsidR="00360372" w:rsidRDefault="00360372" w:rsidP="00360372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Campus II, Raum H 309</w:t>
      </w:r>
    </w:p>
    <w:p w:rsidR="00360372" w:rsidRDefault="00360372" w:rsidP="00360372">
      <w:pPr>
        <w:contextualSpacing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Behringstraße</w:t>
      </w:r>
      <w:proofErr w:type="spellEnd"/>
      <w:r>
        <w:rPr>
          <w:rFonts w:cs="Times New Roman"/>
          <w:szCs w:val="24"/>
        </w:rPr>
        <w:t xml:space="preserve"> 21</w:t>
      </w:r>
    </w:p>
    <w:p w:rsidR="00360372" w:rsidRDefault="00360372" w:rsidP="00360372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54296 Trier</w:t>
      </w:r>
    </w:p>
    <w:p w:rsidR="00360372" w:rsidRDefault="00360372" w:rsidP="00360372">
      <w:pPr>
        <w:contextualSpacing/>
        <w:rPr>
          <w:rFonts w:cs="Times New Roman"/>
          <w:szCs w:val="24"/>
        </w:rPr>
      </w:pPr>
    </w:p>
    <w:p w:rsidR="00360372" w:rsidRDefault="00E65BDE" w:rsidP="0012048C">
      <w:pPr>
        <w:contextualSpacing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Trier, den 20.01</w:t>
      </w:r>
      <w:r w:rsidR="00360372">
        <w:rPr>
          <w:rFonts w:cs="Times New Roman"/>
          <w:szCs w:val="24"/>
        </w:rPr>
        <w:t>.2016</w:t>
      </w:r>
    </w:p>
    <w:p w:rsidR="00360372" w:rsidRDefault="00360372" w:rsidP="00360372">
      <w:pPr>
        <w:contextualSpacing/>
        <w:rPr>
          <w:rFonts w:cs="Times New Roman"/>
          <w:szCs w:val="24"/>
        </w:rPr>
      </w:pPr>
    </w:p>
    <w:p w:rsidR="00360372" w:rsidRDefault="00360372" w:rsidP="00360372">
      <w:pPr>
        <w:contextualSpacing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Unternehmensdarstellung</w:t>
      </w:r>
    </w:p>
    <w:p w:rsidR="001D3609" w:rsidRDefault="001D3609" w:rsidP="00360372">
      <w:pPr>
        <w:contextualSpacing/>
        <w:rPr>
          <w:rFonts w:cs="Times New Roman"/>
          <w:b/>
          <w:szCs w:val="24"/>
        </w:rPr>
      </w:pPr>
    </w:p>
    <w:p w:rsidR="00933920" w:rsidRDefault="001D3609" w:rsidP="009C3E83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Die </w:t>
      </w:r>
      <w:proofErr w:type="spellStart"/>
      <w:r>
        <w:rPr>
          <w:rFonts w:cs="Times New Roman"/>
          <w:szCs w:val="24"/>
        </w:rPr>
        <w:t>runIT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business</w:t>
      </w:r>
      <w:proofErr w:type="spellEnd"/>
      <w:r>
        <w:rPr>
          <w:rFonts w:cs="Times New Roman"/>
          <w:szCs w:val="24"/>
        </w:rPr>
        <w:t xml:space="preserve"> GmbH ist ein im Jah</w:t>
      </w:r>
      <w:r w:rsidR="0007073D">
        <w:rPr>
          <w:rFonts w:cs="Times New Roman"/>
          <w:szCs w:val="24"/>
        </w:rPr>
        <w:t>r 2012 gegründetes Unternehmen. Wir haben es uns seitdem als IT-Dienstleister zur Aufgabe gemacht, für unsere Kunden qualitativ hochwertige und individuelle So</w:t>
      </w:r>
      <w:r w:rsidR="00883EEE">
        <w:rPr>
          <w:rFonts w:cs="Times New Roman"/>
          <w:szCs w:val="24"/>
        </w:rPr>
        <w:t>ftwarelösungen</w:t>
      </w:r>
      <w:r w:rsidR="0007073D">
        <w:rPr>
          <w:rFonts w:cs="Times New Roman"/>
          <w:szCs w:val="24"/>
        </w:rPr>
        <w:t xml:space="preserve"> zu entwickeln. </w:t>
      </w:r>
      <w:r w:rsidR="009C3E83">
        <w:rPr>
          <w:rFonts w:cs="Times New Roman"/>
          <w:szCs w:val="24"/>
        </w:rPr>
        <w:t>Von der Softwareentwicklung bis hin zur Softwareeinführung bieten</w:t>
      </w:r>
      <w:r w:rsidR="0007073D">
        <w:rPr>
          <w:rFonts w:cs="Times New Roman"/>
          <w:szCs w:val="24"/>
        </w:rPr>
        <w:t xml:space="preserve"> </w:t>
      </w:r>
      <w:r w:rsidR="009C3E83">
        <w:rPr>
          <w:rFonts w:cs="Times New Roman"/>
          <w:szCs w:val="24"/>
        </w:rPr>
        <w:t>wir Ihnen das komplette Leistungsspektrum</w:t>
      </w:r>
      <w:r w:rsidR="00933920">
        <w:rPr>
          <w:rFonts w:cs="Times New Roman"/>
          <w:szCs w:val="24"/>
        </w:rPr>
        <w:t xml:space="preserve"> eines IT-Dienstleisters</w:t>
      </w:r>
      <w:r w:rsidR="009C3E83">
        <w:rPr>
          <w:rFonts w:cs="Times New Roman"/>
          <w:szCs w:val="24"/>
        </w:rPr>
        <w:t xml:space="preserve"> und </w:t>
      </w:r>
      <w:r w:rsidR="00933920">
        <w:rPr>
          <w:rFonts w:cs="Times New Roman"/>
          <w:szCs w:val="24"/>
        </w:rPr>
        <w:t xml:space="preserve">berücksichtigen branchenspezifische sowie individuelle Anforderungen und Wünsche unserer Kunden. </w:t>
      </w:r>
    </w:p>
    <w:p w:rsidR="009C3E83" w:rsidRDefault="009C3E83" w:rsidP="009C3E83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Seit der Unternehmensgründung im Jahr 2012 beschäftigt die </w:t>
      </w:r>
      <w:proofErr w:type="spellStart"/>
      <w:r>
        <w:rPr>
          <w:rFonts w:cs="Times New Roman"/>
          <w:szCs w:val="24"/>
        </w:rPr>
        <w:t>runIT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business</w:t>
      </w:r>
      <w:proofErr w:type="spellEnd"/>
      <w:r>
        <w:rPr>
          <w:rFonts w:cs="Times New Roman"/>
          <w:szCs w:val="24"/>
        </w:rPr>
        <w:t xml:space="preserve"> GmbH heute 14</w:t>
      </w:r>
      <w:r w:rsidR="00883EEE">
        <w:rPr>
          <w:rFonts w:cs="Times New Roman"/>
          <w:szCs w:val="24"/>
        </w:rPr>
        <w:t xml:space="preserve"> erfahrene</w:t>
      </w:r>
      <w:r>
        <w:rPr>
          <w:rFonts w:cs="Times New Roman"/>
          <w:szCs w:val="24"/>
        </w:rPr>
        <w:t xml:space="preserve"> IT-Experten </w:t>
      </w:r>
      <w:r w:rsidR="001A7E79">
        <w:rPr>
          <w:rFonts w:cs="Times New Roman"/>
          <w:szCs w:val="24"/>
        </w:rPr>
        <w:t>der v</w:t>
      </w:r>
      <w:r w:rsidR="00883EEE">
        <w:rPr>
          <w:rFonts w:cs="Times New Roman"/>
          <w:szCs w:val="24"/>
        </w:rPr>
        <w:t>erschiedensten Technologien. Durch die Erfahrung und Leidenschaft unserer Mitarbeiter ist es uns möglich Ihnen innovative Softwarelösungen für komplexe Prozesse</w:t>
      </w:r>
      <w:r w:rsidR="00933920">
        <w:rPr>
          <w:rFonts w:cs="Times New Roman"/>
          <w:szCs w:val="24"/>
        </w:rPr>
        <w:t xml:space="preserve"> sowie effizientere Abläufe Ihres Business</w:t>
      </w:r>
      <w:r w:rsidR="00883EEE">
        <w:rPr>
          <w:rFonts w:cs="Times New Roman"/>
          <w:szCs w:val="24"/>
        </w:rPr>
        <w:t xml:space="preserve"> </w:t>
      </w:r>
      <w:r w:rsidR="00933920">
        <w:rPr>
          <w:rFonts w:cs="Times New Roman"/>
          <w:szCs w:val="24"/>
        </w:rPr>
        <w:t xml:space="preserve">zu liefern. </w:t>
      </w:r>
    </w:p>
    <w:p w:rsidR="00933920" w:rsidRDefault="00933920" w:rsidP="009C3E83">
      <w:pPr>
        <w:contextualSpacing/>
        <w:jc w:val="both"/>
        <w:rPr>
          <w:rFonts w:cs="Times New Roman"/>
          <w:szCs w:val="24"/>
        </w:rPr>
      </w:pPr>
    </w:p>
    <w:p w:rsidR="00933920" w:rsidRDefault="00933920" w:rsidP="009C3E83">
      <w:pPr>
        <w:contextualSpacing/>
        <w:jc w:val="both"/>
        <w:rPr>
          <w:rFonts w:cs="Times New Roman"/>
          <w:b/>
          <w:szCs w:val="24"/>
        </w:rPr>
      </w:pPr>
    </w:p>
    <w:p w:rsidR="00933920" w:rsidRDefault="00933920" w:rsidP="009C3E83">
      <w:pPr>
        <w:contextualSpacing/>
        <w:jc w:val="both"/>
        <w:rPr>
          <w:rFonts w:cs="Times New Roman"/>
          <w:b/>
          <w:szCs w:val="24"/>
        </w:rPr>
      </w:pPr>
    </w:p>
    <w:p w:rsidR="00933920" w:rsidRDefault="00933920" w:rsidP="00951715">
      <w:pPr>
        <w:contextualSpacing/>
        <w:jc w:val="right"/>
        <w:rPr>
          <w:rFonts w:cs="Times New Roman"/>
          <w:b/>
          <w:szCs w:val="24"/>
        </w:rPr>
      </w:pPr>
    </w:p>
    <w:p w:rsidR="00933920" w:rsidRDefault="00933920" w:rsidP="009C3E83">
      <w:pPr>
        <w:contextualSpacing/>
        <w:jc w:val="both"/>
        <w:rPr>
          <w:rFonts w:cs="Times New Roman"/>
          <w:b/>
          <w:szCs w:val="24"/>
        </w:rPr>
      </w:pPr>
    </w:p>
    <w:p w:rsidR="00951715" w:rsidRDefault="00951715" w:rsidP="00951715">
      <w:pPr>
        <w:contextualSpacing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Projektteam</w:t>
      </w:r>
    </w:p>
    <w:p w:rsidR="00951715" w:rsidRDefault="00951715" w:rsidP="00951715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Zur Konzeption und Entwicklung des LMS-Systems planen wir folgende Zusammensetzung unseres Projektteams:</w:t>
      </w:r>
    </w:p>
    <w:p w:rsidR="00951715" w:rsidRDefault="00951715" w:rsidP="00951715">
      <w:pPr>
        <w:contextualSpacing/>
        <w:jc w:val="both"/>
        <w:rPr>
          <w:rFonts w:cs="Times New Roman"/>
          <w:szCs w:val="24"/>
        </w:rPr>
      </w:pPr>
    </w:p>
    <w:p w:rsidR="00951715" w:rsidRDefault="00951715" w:rsidP="00951715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Grafik aus der Präsentation</w:t>
      </w:r>
    </w:p>
    <w:p w:rsidR="00951715" w:rsidRDefault="00951715" w:rsidP="00951715">
      <w:pPr>
        <w:contextualSpacing/>
        <w:jc w:val="both"/>
        <w:rPr>
          <w:rFonts w:cs="Times New Roman"/>
          <w:szCs w:val="24"/>
        </w:rPr>
      </w:pPr>
    </w:p>
    <w:p w:rsidR="00951715" w:rsidRDefault="00951715" w:rsidP="00951715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Der Projektleiter Herr Mirko Lenz ist als ehemalige wissenschaftliche Hilfskraft des RWP-Lehrstuhl der Universität Trier mit den Systemen der Universität Trier vertraut. Des Weiteren greift er auf die Erfahrung verschiedener Projekte mit der Unternehmensberatung KPMG auf. Auch als Head </w:t>
      </w:r>
      <w:proofErr w:type="spellStart"/>
      <w:r>
        <w:rPr>
          <w:rFonts w:cs="Times New Roman"/>
          <w:szCs w:val="24"/>
        </w:rPr>
        <w:t>of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Sales</w:t>
      </w:r>
      <w:proofErr w:type="spellEnd"/>
      <w:r>
        <w:rPr>
          <w:rFonts w:cs="Times New Roman"/>
          <w:szCs w:val="24"/>
        </w:rPr>
        <w:t xml:space="preserve"> bei </w:t>
      </w:r>
      <w:proofErr w:type="spellStart"/>
      <w:r>
        <w:rPr>
          <w:rFonts w:cs="Times New Roman"/>
          <w:szCs w:val="24"/>
        </w:rPr>
        <w:t>Contact</w:t>
      </w:r>
      <w:proofErr w:type="spellEnd"/>
      <w:r>
        <w:rPr>
          <w:rFonts w:cs="Times New Roman"/>
          <w:szCs w:val="24"/>
        </w:rPr>
        <w:t xml:space="preserve"> &amp; </w:t>
      </w:r>
      <w:proofErr w:type="spellStart"/>
      <w:r>
        <w:rPr>
          <w:rFonts w:cs="Times New Roman"/>
          <w:szCs w:val="24"/>
        </w:rPr>
        <w:t>Cooperation</w:t>
      </w:r>
      <w:proofErr w:type="spellEnd"/>
      <w:r>
        <w:rPr>
          <w:rFonts w:cs="Times New Roman"/>
          <w:szCs w:val="24"/>
        </w:rPr>
        <w:t xml:space="preserve"> sammelte er Erfahrung in der Projektleitung.</w:t>
      </w:r>
    </w:p>
    <w:p w:rsidR="00951715" w:rsidRPr="0050040F" w:rsidRDefault="00951715" w:rsidP="00951715">
      <w:pPr>
        <w:contextualSpacing/>
        <w:jc w:val="both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 xml:space="preserve">Herr Aaron </w:t>
      </w:r>
      <w:proofErr w:type="spellStart"/>
      <w:r>
        <w:rPr>
          <w:rFonts w:cs="Times New Roman"/>
          <w:szCs w:val="24"/>
        </w:rPr>
        <w:t>Winziers</w:t>
      </w:r>
      <w:proofErr w:type="spellEnd"/>
      <w:r>
        <w:rPr>
          <w:rFonts w:cs="Times New Roman"/>
          <w:szCs w:val="24"/>
        </w:rPr>
        <w:t xml:space="preserve"> wird als Chefentwickler zusammen mit unserem Programmierer, Herr Jonas Knauf, für die Entwicklung und Implementierung des LMS-Systems zuständig sein. Unser erfahrener Chefentwickler arbeitete im Rahmen eines Studienprojekts mit dem IPv6 Netzwerkprotokoll und bringt Erfahrungen aus der Teilnahme bei der Umsetzung eines elektronischen Akten-Systems bei der Carl Zeiss AG mit. Herr Knauf kann eine umfangreiche Erfahrung aus verschiedenen Programmierprojekten sowie einem Praktikum bei der </w:t>
      </w:r>
      <w:proofErr w:type="spellStart"/>
      <w:r>
        <w:rPr>
          <w:rFonts w:cs="Times New Roman"/>
          <w:szCs w:val="24"/>
        </w:rPr>
        <w:t>Arla</w:t>
      </w:r>
      <w:proofErr w:type="spellEnd"/>
      <w:r>
        <w:rPr>
          <w:rFonts w:cs="Times New Roman"/>
          <w:szCs w:val="24"/>
        </w:rPr>
        <w:t xml:space="preserve"> Foods Deutschland GmbH aufweisen. Zudem betreibt er einen Web-Server.</w:t>
      </w:r>
    </w:p>
    <w:p w:rsidR="00951715" w:rsidRDefault="00951715" w:rsidP="00951715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Unsere kaufmännische Leitung Herr Philipp Diehl ist für das Controlling sowie die Kundenbetreuung verantwortlich. Auch er bringt zahlreiche Erfahrungen in der Angebotserstellung eines Maschinenbau-Unternehmens mit sowie der Entwicklung und Ausarbeitung eines Marketingkonzepts mit Servicepaketen. Zudem war er im Rahmen eines Forschungsprojekts an der Erstellung eines Business Plans für die Ausgliederung einer CRM-Software für die Cursor Software AG beteiligt.</w:t>
      </w:r>
    </w:p>
    <w:p w:rsidR="00951715" w:rsidRDefault="00951715" w:rsidP="009C3E83">
      <w:pPr>
        <w:contextualSpacing/>
        <w:jc w:val="both"/>
        <w:rPr>
          <w:rFonts w:cs="Times New Roman"/>
          <w:b/>
          <w:szCs w:val="24"/>
        </w:rPr>
      </w:pPr>
    </w:p>
    <w:p w:rsidR="00951715" w:rsidRDefault="00951715" w:rsidP="009C3E83">
      <w:pPr>
        <w:contextualSpacing/>
        <w:jc w:val="both"/>
        <w:rPr>
          <w:rFonts w:cs="Times New Roman"/>
          <w:b/>
          <w:szCs w:val="24"/>
        </w:rPr>
      </w:pPr>
    </w:p>
    <w:p w:rsidR="00951715" w:rsidRDefault="0095171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933920" w:rsidRDefault="00933920" w:rsidP="009C3E83">
      <w:pPr>
        <w:contextualSpacing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Referenzen</w:t>
      </w:r>
    </w:p>
    <w:p w:rsidR="00E65BDE" w:rsidRPr="00E65BDE" w:rsidRDefault="00E65BDE" w:rsidP="009C3E83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Mit der </w:t>
      </w:r>
      <w:proofErr w:type="spellStart"/>
      <w:r>
        <w:rPr>
          <w:rFonts w:cs="Times New Roman"/>
          <w:szCs w:val="24"/>
        </w:rPr>
        <w:t>runIT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business</w:t>
      </w:r>
      <w:proofErr w:type="spellEnd"/>
      <w:r>
        <w:rPr>
          <w:rFonts w:cs="Times New Roman"/>
          <w:szCs w:val="24"/>
        </w:rPr>
        <w:t xml:space="preserve"> GmbH haben Sie einen erfahrenen IT-Partner an Ihrer Seite. Im Folgenden möchten wir Ihnen kurz einige ausgewählte Projekte vorstellen, die die </w:t>
      </w:r>
      <w:proofErr w:type="spellStart"/>
      <w:r>
        <w:rPr>
          <w:rFonts w:cs="Times New Roman"/>
          <w:szCs w:val="24"/>
        </w:rPr>
        <w:t>runIT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business</w:t>
      </w:r>
      <w:proofErr w:type="spellEnd"/>
      <w:r>
        <w:rPr>
          <w:rFonts w:cs="Times New Roman"/>
          <w:szCs w:val="24"/>
        </w:rPr>
        <w:t xml:space="preserve"> GmbH zur Zufriedenheit Ihrer Kunden konzipierte und erfolgreich realisieren konnte.</w:t>
      </w:r>
    </w:p>
    <w:p w:rsidR="00933920" w:rsidRDefault="00933920" w:rsidP="009C3E83">
      <w:pPr>
        <w:contextualSpacing/>
        <w:jc w:val="both"/>
        <w:rPr>
          <w:rFonts w:cs="Times New Roman"/>
          <w:b/>
          <w:szCs w:val="24"/>
        </w:rPr>
      </w:pPr>
    </w:p>
    <w:p w:rsidR="00933920" w:rsidRDefault="00933920" w:rsidP="009C3E83">
      <w:pPr>
        <w:contextualSpacing/>
        <w:jc w:val="both"/>
        <w:rPr>
          <w:rFonts w:cs="Times New Roman"/>
          <w:szCs w:val="24"/>
        </w:rPr>
      </w:pPr>
      <w:r>
        <w:rPr>
          <w:noProof/>
          <w:lang w:eastAsia="de-DE"/>
        </w:rPr>
        <w:drawing>
          <wp:inline distT="0" distB="0" distL="0" distR="0" wp14:anchorId="10AC4CD7" wp14:editId="246114D0">
            <wp:extent cx="2305050" cy="495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</w:t>
      </w:r>
    </w:p>
    <w:p w:rsidR="00004ACA" w:rsidRDefault="00933920" w:rsidP="009C3E83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Für die </w:t>
      </w:r>
      <w:proofErr w:type="spellStart"/>
      <w:r>
        <w:rPr>
          <w:rFonts w:cs="Times New Roman"/>
          <w:szCs w:val="24"/>
        </w:rPr>
        <w:t>Insearch</w:t>
      </w:r>
      <w:proofErr w:type="spellEnd"/>
      <w:r>
        <w:rPr>
          <w:rFonts w:cs="Times New Roman"/>
          <w:szCs w:val="24"/>
        </w:rPr>
        <w:t xml:space="preserve"> Group </w:t>
      </w:r>
      <w:r w:rsidR="006726E9">
        <w:rPr>
          <w:rFonts w:cs="Times New Roman"/>
          <w:szCs w:val="24"/>
        </w:rPr>
        <w:t xml:space="preserve">konzipierte und </w:t>
      </w:r>
      <w:r>
        <w:rPr>
          <w:rFonts w:cs="Times New Roman"/>
          <w:szCs w:val="24"/>
        </w:rPr>
        <w:t xml:space="preserve">entwickelte die </w:t>
      </w:r>
      <w:proofErr w:type="spellStart"/>
      <w:r>
        <w:rPr>
          <w:rFonts w:cs="Times New Roman"/>
          <w:szCs w:val="24"/>
        </w:rPr>
        <w:t>runIT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business</w:t>
      </w:r>
      <w:proofErr w:type="spellEnd"/>
      <w:r>
        <w:rPr>
          <w:rFonts w:cs="Times New Roman"/>
          <w:szCs w:val="24"/>
        </w:rPr>
        <w:t xml:space="preserve"> GmbH ein individuelles Datenbank</w:t>
      </w:r>
      <w:r w:rsidR="006726E9">
        <w:rPr>
          <w:rFonts w:cs="Times New Roman"/>
          <w:szCs w:val="24"/>
        </w:rPr>
        <w:t>management</w:t>
      </w:r>
      <w:r>
        <w:rPr>
          <w:rFonts w:cs="Times New Roman"/>
          <w:szCs w:val="24"/>
        </w:rPr>
        <w:t>system</w:t>
      </w:r>
      <w:r w:rsidR="006726E9">
        <w:rPr>
          <w:rFonts w:cs="Times New Roman"/>
          <w:szCs w:val="24"/>
        </w:rPr>
        <w:t xml:space="preserve"> zur Optimierung von Recruiting- und Bewerbungsprozessen. Das auf die Wünsche der </w:t>
      </w:r>
      <w:proofErr w:type="spellStart"/>
      <w:r w:rsidR="006726E9">
        <w:rPr>
          <w:rFonts w:cs="Times New Roman"/>
          <w:szCs w:val="24"/>
        </w:rPr>
        <w:t>Insearch</w:t>
      </w:r>
      <w:proofErr w:type="spellEnd"/>
      <w:r w:rsidR="006726E9">
        <w:rPr>
          <w:rFonts w:cs="Times New Roman"/>
          <w:szCs w:val="24"/>
        </w:rPr>
        <w:t xml:space="preserve"> Group angepasste Datenbankmanagement</w:t>
      </w:r>
      <w:r w:rsidR="00C14D6A">
        <w:rPr>
          <w:rFonts w:cs="Times New Roman"/>
          <w:szCs w:val="24"/>
        </w:rPr>
        <w:t xml:space="preserve">system ermöglicht die </w:t>
      </w:r>
      <w:r w:rsidR="006726E9">
        <w:rPr>
          <w:rFonts w:cs="Times New Roman"/>
          <w:szCs w:val="24"/>
        </w:rPr>
        <w:t xml:space="preserve">Verwaltung </w:t>
      </w:r>
      <w:r w:rsidR="00C14D6A">
        <w:rPr>
          <w:rFonts w:cs="Times New Roman"/>
          <w:szCs w:val="24"/>
        </w:rPr>
        <w:t>komplexer</w:t>
      </w:r>
      <w:r w:rsidR="006726E9">
        <w:rPr>
          <w:rFonts w:cs="Times New Roman"/>
          <w:szCs w:val="24"/>
        </w:rPr>
        <w:t xml:space="preserve"> </w:t>
      </w:r>
      <w:r w:rsidR="00004ACA">
        <w:rPr>
          <w:rFonts w:cs="Times New Roman"/>
          <w:szCs w:val="24"/>
        </w:rPr>
        <w:t xml:space="preserve">Bewerber- und Kundendaten und stellt den Mittelpunkt der Tätigkeiten der </w:t>
      </w:r>
      <w:proofErr w:type="spellStart"/>
      <w:r w:rsidR="00004ACA">
        <w:rPr>
          <w:rFonts w:cs="Times New Roman"/>
          <w:szCs w:val="24"/>
        </w:rPr>
        <w:t>Insearch</w:t>
      </w:r>
      <w:proofErr w:type="spellEnd"/>
      <w:r w:rsidR="00004ACA">
        <w:rPr>
          <w:rFonts w:cs="Times New Roman"/>
          <w:szCs w:val="24"/>
        </w:rPr>
        <w:t xml:space="preserve"> Group dar. Durch die nutzerfreundliche Übertragung der Bewerberdaten wird der Arbeitsalltag der Mitarbeiter der Personalberatung erleichtert und die Pro</w:t>
      </w:r>
      <w:r w:rsidR="00F42632">
        <w:rPr>
          <w:rFonts w:cs="Times New Roman"/>
          <w:szCs w:val="24"/>
        </w:rPr>
        <w:t>zesse im Unternehmen optimiert.</w:t>
      </w:r>
    </w:p>
    <w:p w:rsidR="00F42632" w:rsidRDefault="00F42632" w:rsidP="009C3E83">
      <w:pPr>
        <w:contextualSpacing/>
        <w:jc w:val="both"/>
        <w:rPr>
          <w:rFonts w:cs="Times New Roman"/>
          <w:szCs w:val="24"/>
        </w:rPr>
      </w:pPr>
    </w:p>
    <w:p w:rsidR="00004ACA" w:rsidRDefault="00004ACA" w:rsidP="00004ACA">
      <w:pPr>
        <w:contextualSpacing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Volksfreund-Druckerei Nikolaus Koch GmbH</w:t>
      </w:r>
    </w:p>
    <w:p w:rsidR="007D545E" w:rsidRDefault="00004ACA" w:rsidP="00004ACA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Gemeinsam mit der Volksfreund-Druckerei Nikolaus Koch GmbH konzipierte ein Projektteam der </w:t>
      </w:r>
      <w:proofErr w:type="spellStart"/>
      <w:r>
        <w:rPr>
          <w:rFonts w:cs="Times New Roman"/>
          <w:szCs w:val="24"/>
        </w:rPr>
        <w:t>runIT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business</w:t>
      </w:r>
      <w:proofErr w:type="spellEnd"/>
      <w:r>
        <w:rPr>
          <w:rFonts w:cs="Times New Roman"/>
          <w:szCs w:val="24"/>
        </w:rPr>
        <w:t xml:space="preserve"> GmbH </w:t>
      </w:r>
      <w:r w:rsidR="00F42632">
        <w:rPr>
          <w:rFonts w:cs="Times New Roman"/>
          <w:szCs w:val="24"/>
        </w:rPr>
        <w:t>ein neues Customer-</w:t>
      </w:r>
      <w:proofErr w:type="spellStart"/>
      <w:r w:rsidR="00F42632">
        <w:rPr>
          <w:rFonts w:cs="Times New Roman"/>
          <w:szCs w:val="24"/>
        </w:rPr>
        <w:t>Relationship</w:t>
      </w:r>
      <w:proofErr w:type="spellEnd"/>
      <w:r w:rsidR="00F42632">
        <w:rPr>
          <w:rFonts w:cs="Times New Roman"/>
          <w:szCs w:val="24"/>
        </w:rPr>
        <w:t>-Management System. Dieses CRM-System ermöglicht sowohl eine zentrale Verwaltung der Kundendaten der Abonnements als auch die Verwaltung der Online-Kunden. Neue Kundendaten können somit von den Mitarbeitern der unterschiedlichen Abteilungen der Volksfreund-Druckerei Nikolaus Koch GmbH auf nutzerfreundliche</w:t>
      </w:r>
      <w:r w:rsidR="0050040F">
        <w:rPr>
          <w:rFonts w:cs="Times New Roman"/>
          <w:szCs w:val="24"/>
        </w:rPr>
        <w:t>r</w:t>
      </w:r>
      <w:r w:rsidR="00F42632">
        <w:rPr>
          <w:rFonts w:cs="Times New Roman"/>
          <w:szCs w:val="24"/>
        </w:rPr>
        <w:t xml:space="preserve"> Weise integriert und aufbereitet werden.</w:t>
      </w:r>
    </w:p>
    <w:p w:rsidR="007D545E" w:rsidRDefault="007D545E">
      <w:p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13A05" w:rsidRDefault="00013A05" w:rsidP="00013A05">
      <w:pPr>
        <w:contextualSpacing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Zeitplanung</w:t>
      </w:r>
    </w:p>
    <w:p w:rsidR="00013A05" w:rsidRDefault="00013A05" w:rsidP="00013A05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Aufbauend auf die Anforderungen im Lastenheft der Ausschreibung haben wir folgende Zeitplanung für das Projekt der Entwicklung eines LMS-Systems für die Universität Trier erstellt.</w:t>
      </w:r>
    </w:p>
    <w:p w:rsidR="00013A05" w:rsidRDefault="00013A05" w:rsidP="00013A05">
      <w:pPr>
        <w:contextualSpacing/>
        <w:jc w:val="both"/>
        <w:rPr>
          <w:rFonts w:cs="Times New Roman"/>
          <w:szCs w:val="24"/>
        </w:rPr>
      </w:pPr>
    </w:p>
    <w:p w:rsidR="00013A05" w:rsidRDefault="00013A05" w:rsidP="00013A05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Grafik der Zeitplanung so in etwa wie in der Excel-Datei.</w:t>
      </w:r>
    </w:p>
    <w:p w:rsidR="00013A05" w:rsidRDefault="00013A05" w:rsidP="00013A05">
      <w:pPr>
        <w:contextualSpacing/>
        <w:jc w:val="both"/>
        <w:rPr>
          <w:rFonts w:cs="Times New Roman"/>
          <w:szCs w:val="24"/>
        </w:rPr>
      </w:pPr>
    </w:p>
    <w:p w:rsidR="00013A05" w:rsidRDefault="00013A05" w:rsidP="00013A05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Laut Lastenheft erfolgt die Vergabe des Projekts am 6. Februar 2017. Darauf folgend sieht die Zeitplanung der </w:t>
      </w:r>
      <w:proofErr w:type="spellStart"/>
      <w:r>
        <w:rPr>
          <w:rFonts w:cs="Times New Roman"/>
          <w:szCs w:val="24"/>
        </w:rPr>
        <w:t>runIT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business</w:t>
      </w:r>
      <w:proofErr w:type="spellEnd"/>
      <w:r>
        <w:rPr>
          <w:rFonts w:cs="Times New Roman"/>
          <w:szCs w:val="24"/>
        </w:rPr>
        <w:t xml:space="preserve"> GmbH für das Projekt eine Fertigstellung der Konzeption</w:t>
      </w:r>
      <w:r w:rsidR="0050040F">
        <w:rPr>
          <w:rFonts w:cs="Times New Roman"/>
          <w:szCs w:val="24"/>
        </w:rPr>
        <w:t xml:space="preserve"> und Entwicklung</w:t>
      </w:r>
      <w:r>
        <w:rPr>
          <w:rFonts w:cs="Times New Roman"/>
          <w:szCs w:val="24"/>
        </w:rPr>
        <w:t xml:space="preserve"> der Datenstruktur bis zum 15. Februar vor. Aufbauend auf der Konzeption</w:t>
      </w:r>
      <w:r w:rsidR="0050040F">
        <w:rPr>
          <w:rFonts w:cs="Times New Roman"/>
          <w:szCs w:val="24"/>
        </w:rPr>
        <w:t xml:space="preserve"> und Entwicklung</w:t>
      </w:r>
      <w:r>
        <w:rPr>
          <w:rFonts w:cs="Times New Roman"/>
          <w:szCs w:val="24"/>
        </w:rPr>
        <w:t xml:space="preserve"> der Datenstruktur planen wir mit </w:t>
      </w:r>
      <w:r w:rsidR="00B82C28">
        <w:rPr>
          <w:rFonts w:cs="Times New Roman"/>
          <w:szCs w:val="24"/>
        </w:rPr>
        <w:t>der Umsetzung des Java-Frameworks für die Sichten der Kontakthistorie, der wissenschaftlichen Praxispartner sowie der Forschungsarbeiten bis zum 8</w:t>
      </w:r>
      <w:r w:rsidR="0050040F">
        <w:rPr>
          <w:rFonts w:cs="Times New Roman"/>
          <w:szCs w:val="24"/>
        </w:rPr>
        <w:t>. März. Im Anschluss erfolgt eine detaillierte</w:t>
      </w:r>
      <w:r w:rsidR="00B82C28">
        <w:rPr>
          <w:rFonts w:cs="Times New Roman"/>
          <w:szCs w:val="24"/>
        </w:rPr>
        <w:t xml:space="preserve"> Testphase sowie die Dokumentation, so dass aus unserer Sicht eine Übergabe des LMS-Systems am 31. März 2017 möglich ist. </w:t>
      </w:r>
    </w:p>
    <w:p w:rsidR="0050040F" w:rsidRDefault="0050040F" w:rsidP="00B82C28">
      <w:pPr>
        <w:contextualSpacing/>
        <w:jc w:val="both"/>
        <w:rPr>
          <w:rFonts w:cs="Times New Roman"/>
          <w:b/>
          <w:szCs w:val="24"/>
        </w:rPr>
      </w:pPr>
    </w:p>
    <w:p w:rsidR="00B82C28" w:rsidRDefault="00B82C28" w:rsidP="00B82C28">
      <w:pPr>
        <w:contextualSpacing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Kalkulation / Schätzung </w:t>
      </w:r>
    </w:p>
    <w:p w:rsidR="002442D4" w:rsidRDefault="00B82C28" w:rsidP="00B82C28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In Anlehnung an die beschriebene Zeitplanung bieten wir unsere Leistung zu einem Gesamtpreis von 26.051 € an. Dieser Preis setzt sich aus den in der Zeitplanung genannten Projektphasen zusammen. Bei einem durchschnittlichen Tagessatz von 618 € für die Konzeption und Entwicklung der Datenstruktur</w:t>
      </w:r>
      <w:r w:rsidR="002442D4">
        <w:rPr>
          <w:rFonts w:cs="Times New Roman"/>
          <w:szCs w:val="24"/>
        </w:rPr>
        <w:t xml:space="preserve"> sowie einer Anzahl von 6 Personentagen, belaufen sich die Kosten für diese Phase auf 3.708 €. Den größten Anteil der Kosten stellt die Konzeptions- und Entwicklungsphase des Java-Frameworks dar. Hier stel</w:t>
      </w:r>
      <w:r w:rsidR="00CE60E2">
        <w:rPr>
          <w:rFonts w:cs="Times New Roman"/>
          <w:szCs w:val="24"/>
        </w:rPr>
        <w:t xml:space="preserve">lt die </w:t>
      </w:r>
      <w:proofErr w:type="spellStart"/>
      <w:r w:rsidR="00CE60E2">
        <w:rPr>
          <w:rFonts w:cs="Times New Roman"/>
          <w:szCs w:val="24"/>
        </w:rPr>
        <w:t>runIT</w:t>
      </w:r>
      <w:proofErr w:type="spellEnd"/>
      <w:r w:rsidR="00CE60E2">
        <w:rPr>
          <w:rFonts w:cs="Times New Roman"/>
          <w:szCs w:val="24"/>
        </w:rPr>
        <w:t xml:space="preserve"> </w:t>
      </w:r>
      <w:proofErr w:type="spellStart"/>
      <w:r w:rsidR="00CE60E2">
        <w:rPr>
          <w:rFonts w:cs="Times New Roman"/>
          <w:szCs w:val="24"/>
        </w:rPr>
        <w:t>business</w:t>
      </w:r>
      <w:proofErr w:type="spellEnd"/>
      <w:r w:rsidR="00CE60E2">
        <w:rPr>
          <w:rFonts w:cs="Times New Roman"/>
          <w:szCs w:val="24"/>
        </w:rPr>
        <w:t xml:space="preserve"> GmbH der Universität Trier</w:t>
      </w:r>
      <w:r w:rsidR="002442D4">
        <w:rPr>
          <w:rFonts w:cs="Times New Roman"/>
          <w:szCs w:val="24"/>
        </w:rPr>
        <w:t xml:space="preserve"> 10.650 €, die sich aus 15 Personentage</w:t>
      </w:r>
      <w:r w:rsidR="00CE60E2">
        <w:rPr>
          <w:rFonts w:cs="Times New Roman"/>
          <w:szCs w:val="24"/>
        </w:rPr>
        <w:t>n</w:t>
      </w:r>
      <w:r w:rsidR="002442D4">
        <w:rPr>
          <w:rFonts w:cs="Times New Roman"/>
          <w:szCs w:val="24"/>
        </w:rPr>
        <w:t xml:space="preserve"> à 710 € ergeben, in Rechnung. Für die Testphase werden weitere 5.680 € und für die Dokumentation weitere 1.854 € berechnet. Zuzüglich einer Mehrwertsteuer von 4.159</w:t>
      </w:r>
      <w:r w:rsidR="002442D4">
        <w:t xml:space="preserve"> </w:t>
      </w:r>
      <w:r w:rsidR="002442D4" w:rsidRPr="002442D4">
        <w:rPr>
          <w:rFonts w:cs="Times New Roman"/>
        </w:rPr>
        <w:t>€</w:t>
      </w:r>
      <w:r w:rsidR="002442D4">
        <w:rPr>
          <w:rFonts w:cs="Times New Roman"/>
        </w:rPr>
        <w:t xml:space="preserve"> erhalten Sie somit die Gesamtsumme von 26.051 €. </w:t>
      </w:r>
      <w:r w:rsidR="002442D4">
        <w:rPr>
          <w:rFonts w:cs="Times New Roman"/>
          <w:szCs w:val="24"/>
        </w:rPr>
        <w:t>Eine detaillierte Übersicht der Zusammensetzung des Preises</w:t>
      </w:r>
      <w:r w:rsidR="00CE60E2">
        <w:rPr>
          <w:rFonts w:cs="Times New Roman"/>
          <w:szCs w:val="24"/>
        </w:rPr>
        <w:t xml:space="preserve"> für das LMS-System</w:t>
      </w:r>
      <w:r w:rsidR="002442D4">
        <w:rPr>
          <w:rFonts w:cs="Times New Roman"/>
          <w:szCs w:val="24"/>
        </w:rPr>
        <w:t xml:space="preserve"> entnehmen Sie bitte der nachfolgenden Tabelle.</w:t>
      </w:r>
    </w:p>
    <w:p w:rsidR="0091512B" w:rsidRDefault="0091512B" w:rsidP="00B82C28">
      <w:pPr>
        <w:contextualSpacing/>
        <w:jc w:val="both"/>
        <w:rPr>
          <w:rFonts w:cs="Times New Roman"/>
          <w:szCs w:val="24"/>
        </w:rPr>
      </w:pPr>
    </w:p>
    <w:p w:rsidR="00C3752B" w:rsidRDefault="00C3752B" w:rsidP="00B82C28">
      <w:pPr>
        <w:contextualSpacing/>
        <w:jc w:val="both"/>
        <w:rPr>
          <w:rFonts w:cs="Times New Roman"/>
          <w:szCs w:val="24"/>
        </w:rPr>
      </w:pPr>
    </w:p>
    <w:p w:rsidR="00C3752B" w:rsidRDefault="00C3752B" w:rsidP="00B82C28">
      <w:pPr>
        <w:contextualSpacing/>
        <w:jc w:val="both"/>
        <w:rPr>
          <w:rFonts w:cs="Times New Roman"/>
          <w:szCs w:val="24"/>
        </w:rPr>
      </w:pPr>
    </w:p>
    <w:p w:rsidR="00C3752B" w:rsidRDefault="00C3752B" w:rsidP="00B82C28">
      <w:pPr>
        <w:contextualSpacing/>
        <w:jc w:val="both"/>
        <w:rPr>
          <w:rFonts w:cs="Times New Roman"/>
          <w:szCs w:val="24"/>
        </w:rPr>
      </w:pPr>
    </w:p>
    <w:p w:rsidR="002442D4" w:rsidRDefault="002442D4" w:rsidP="00B82C28">
      <w:pPr>
        <w:contextualSpacing/>
        <w:jc w:val="both"/>
        <w:rPr>
          <w:rFonts w:cs="Times New Roman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3575"/>
        <w:gridCol w:w="1566"/>
        <w:gridCol w:w="1566"/>
      </w:tblGrid>
      <w:tr w:rsidR="002442D4" w:rsidRPr="002442D4" w:rsidTr="006A4133">
        <w:tc>
          <w:tcPr>
            <w:tcW w:w="704" w:type="dxa"/>
            <w:tcBorders>
              <w:bottom w:val="single" w:sz="4" w:space="0" w:color="auto"/>
            </w:tcBorders>
          </w:tcPr>
          <w:p w:rsidR="002442D4" w:rsidRPr="002442D4" w:rsidRDefault="002442D4" w:rsidP="002442D4">
            <w:pPr>
              <w:contextualSpacing/>
              <w:jc w:val="both"/>
              <w:rPr>
                <w:rFonts w:cs="Times New Roman"/>
                <w:b/>
                <w:szCs w:val="24"/>
              </w:rPr>
            </w:pPr>
            <w:r w:rsidRPr="002442D4">
              <w:rPr>
                <w:rFonts w:cs="Times New Roman"/>
                <w:b/>
                <w:szCs w:val="24"/>
              </w:rPr>
              <w:lastRenderedPageBreak/>
              <w:t>Pos.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442D4" w:rsidRPr="002442D4" w:rsidRDefault="002442D4" w:rsidP="002442D4">
            <w:pPr>
              <w:contextualSpacing/>
              <w:jc w:val="both"/>
              <w:rPr>
                <w:rFonts w:cs="Times New Roman"/>
                <w:b/>
                <w:szCs w:val="24"/>
              </w:rPr>
            </w:pPr>
            <w:r w:rsidRPr="002442D4">
              <w:rPr>
                <w:rFonts w:cs="Times New Roman"/>
                <w:b/>
                <w:szCs w:val="24"/>
              </w:rPr>
              <w:t>Anzahl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442D4" w:rsidRPr="002442D4" w:rsidRDefault="002442D4" w:rsidP="002442D4">
            <w:pPr>
              <w:contextualSpacing/>
              <w:jc w:val="both"/>
              <w:rPr>
                <w:rFonts w:cs="Times New Roman"/>
                <w:b/>
                <w:szCs w:val="24"/>
              </w:rPr>
            </w:pPr>
            <w:r w:rsidRPr="002442D4">
              <w:rPr>
                <w:rFonts w:cs="Times New Roman"/>
                <w:b/>
                <w:szCs w:val="24"/>
              </w:rPr>
              <w:t>Einheit</w:t>
            </w:r>
          </w:p>
        </w:tc>
        <w:tc>
          <w:tcPr>
            <w:tcW w:w="3575" w:type="dxa"/>
            <w:tcBorders>
              <w:bottom w:val="single" w:sz="4" w:space="0" w:color="auto"/>
            </w:tcBorders>
          </w:tcPr>
          <w:p w:rsidR="002442D4" w:rsidRPr="002442D4" w:rsidRDefault="002442D4" w:rsidP="002442D4">
            <w:pPr>
              <w:contextualSpacing/>
              <w:jc w:val="both"/>
              <w:rPr>
                <w:rFonts w:cs="Times New Roman"/>
                <w:b/>
                <w:szCs w:val="24"/>
              </w:rPr>
            </w:pPr>
            <w:r w:rsidRPr="002442D4">
              <w:rPr>
                <w:rFonts w:cs="Times New Roman"/>
                <w:b/>
                <w:szCs w:val="24"/>
              </w:rPr>
              <w:t>Beschreibung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2442D4" w:rsidRPr="002442D4" w:rsidRDefault="002442D4" w:rsidP="002442D4">
            <w:pPr>
              <w:contextualSpacing/>
              <w:jc w:val="both"/>
              <w:rPr>
                <w:rFonts w:cs="Times New Roman"/>
                <w:b/>
                <w:szCs w:val="24"/>
              </w:rPr>
            </w:pPr>
            <w:r w:rsidRPr="002442D4">
              <w:rPr>
                <w:rFonts w:cs="Times New Roman"/>
                <w:b/>
                <w:szCs w:val="24"/>
              </w:rPr>
              <w:t>Einzelpreis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2442D4" w:rsidRPr="002442D4" w:rsidRDefault="002442D4" w:rsidP="002442D4">
            <w:pPr>
              <w:contextualSpacing/>
              <w:jc w:val="both"/>
              <w:rPr>
                <w:rFonts w:cs="Times New Roman"/>
                <w:b/>
                <w:szCs w:val="24"/>
              </w:rPr>
            </w:pPr>
            <w:r w:rsidRPr="002442D4">
              <w:rPr>
                <w:rFonts w:cs="Times New Roman"/>
                <w:b/>
                <w:szCs w:val="24"/>
              </w:rPr>
              <w:t>Gesamtpreis</w:t>
            </w:r>
          </w:p>
        </w:tc>
      </w:tr>
      <w:tr w:rsidR="002442D4" w:rsidRPr="002442D4" w:rsidTr="006A4133">
        <w:tc>
          <w:tcPr>
            <w:tcW w:w="704" w:type="dxa"/>
            <w:tcBorders>
              <w:top w:val="single" w:sz="4" w:space="0" w:color="auto"/>
            </w:tcBorders>
          </w:tcPr>
          <w:p w:rsidR="002442D4" w:rsidRP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 w:rsidRPr="002442D4">
              <w:rPr>
                <w:rFonts w:cs="Times New Roman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442D4" w:rsidRP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 w:rsidRPr="002442D4">
              <w:rPr>
                <w:rFonts w:cs="Times New Roman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2442D4" w:rsidRPr="002442D4" w:rsidRDefault="002442D4" w:rsidP="006A4133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Tage</w:t>
            </w:r>
          </w:p>
        </w:tc>
        <w:tc>
          <w:tcPr>
            <w:tcW w:w="3575" w:type="dxa"/>
            <w:tcBorders>
              <w:top w:val="single" w:sz="4" w:space="0" w:color="auto"/>
            </w:tcBorders>
          </w:tcPr>
          <w:p w:rsidR="002442D4" w:rsidRPr="002442D4" w:rsidRDefault="002442D4" w:rsidP="006A4133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Konzeption und Entwicklung der Datenstruktur</w:t>
            </w:r>
          </w:p>
        </w:tc>
        <w:tc>
          <w:tcPr>
            <w:tcW w:w="1566" w:type="dxa"/>
            <w:tcBorders>
              <w:top w:val="single" w:sz="4" w:space="0" w:color="auto"/>
            </w:tcBorders>
          </w:tcPr>
          <w:p w:rsidR="002442D4" w:rsidRP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618,00 €</w:t>
            </w:r>
          </w:p>
        </w:tc>
        <w:tc>
          <w:tcPr>
            <w:tcW w:w="1566" w:type="dxa"/>
            <w:tcBorders>
              <w:top w:val="single" w:sz="4" w:space="0" w:color="auto"/>
            </w:tcBorders>
          </w:tcPr>
          <w:p w:rsidR="002442D4" w:rsidRP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3.708,00 €</w:t>
            </w:r>
          </w:p>
        </w:tc>
      </w:tr>
      <w:tr w:rsidR="002442D4" w:rsidRPr="002442D4" w:rsidTr="006A4133">
        <w:tc>
          <w:tcPr>
            <w:tcW w:w="704" w:type="dxa"/>
          </w:tcPr>
          <w:p w:rsidR="002442D4" w:rsidRP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92" w:type="dxa"/>
          </w:tcPr>
          <w:p w:rsidR="002442D4" w:rsidRP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993" w:type="dxa"/>
          </w:tcPr>
          <w:p w:rsidR="002442D4" w:rsidRDefault="002442D4" w:rsidP="006A4133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Tage</w:t>
            </w:r>
          </w:p>
        </w:tc>
        <w:tc>
          <w:tcPr>
            <w:tcW w:w="3575" w:type="dxa"/>
          </w:tcPr>
          <w:p w:rsidR="002442D4" w:rsidRDefault="002442D4" w:rsidP="006A4133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Konzeption und Entwicklung des Java-Frameworks</w:t>
            </w:r>
          </w:p>
        </w:tc>
        <w:tc>
          <w:tcPr>
            <w:tcW w:w="1566" w:type="dxa"/>
          </w:tcPr>
          <w:p w:rsid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710,00 €</w:t>
            </w:r>
          </w:p>
        </w:tc>
        <w:tc>
          <w:tcPr>
            <w:tcW w:w="1566" w:type="dxa"/>
          </w:tcPr>
          <w:p w:rsid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10.650,00 €</w:t>
            </w:r>
          </w:p>
        </w:tc>
      </w:tr>
      <w:tr w:rsidR="002442D4" w:rsidRPr="002442D4" w:rsidTr="006A4133">
        <w:tc>
          <w:tcPr>
            <w:tcW w:w="704" w:type="dxa"/>
          </w:tcPr>
          <w:p w:rsid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92" w:type="dxa"/>
          </w:tcPr>
          <w:p w:rsid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993" w:type="dxa"/>
          </w:tcPr>
          <w:p w:rsidR="002442D4" w:rsidRDefault="002442D4" w:rsidP="006A4133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Tage</w:t>
            </w:r>
          </w:p>
        </w:tc>
        <w:tc>
          <w:tcPr>
            <w:tcW w:w="3575" w:type="dxa"/>
          </w:tcPr>
          <w:p w:rsidR="002442D4" w:rsidRDefault="002442D4" w:rsidP="006A4133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Testphase und Fehlerbeseitigung</w:t>
            </w:r>
          </w:p>
        </w:tc>
        <w:tc>
          <w:tcPr>
            <w:tcW w:w="1566" w:type="dxa"/>
          </w:tcPr>
          <w:p w:rsid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710,00 €</w:t>
            </w:r>
          </w:p>
        </w:tc>
        <w:tc>
          <w:tcPr>
            <w:tcW w:w="1566" w:type="dxa"/>
          </w:tcPr>
          <w:p w:rsid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5.680,00 €</w:t>
            </w:r>
          </w:p>
        </w:tc>
      </w:tr>
      <w:tr w:rsidR="002442D4" w:rsidRPr="002442D4" w:rsidTr="006A4133">
        <w:tc>
          <w:tcPr>
            <w:tcW w:w="704" w:type="dxa"/>
            <w:tcBorders>
              <w:bottom w:val="single" w:sz="4" w:space="0" w:color="auto"/>
            </w:tcBorders>
          </w:tcPr>
          <w:p w:rsid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442D4" w:rsidRDefault="002442D4" w:rsidP="006A4133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Tage</w:t>
            </w:r>
          </w:p>
        </w:tc>
        <w:tc>
          <w:tcPr>
            <w:tcW w:w="3575" w:type="dxa"/>
            <w:tcBorders>
              <w:bottom w:val="single" w:sz="4" w:space="0" w:color="auto"/>
            </w:tcBorders>
          </w:tcPr>
          <w:p w:rsidR="002442D4" w:rsidRDefault="002442D4" w:rsidP="006A4133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Dokumentation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2442D4" w:rsidRDefault="002442D4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618,00 €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2442D4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1.854,00 €</w:t>
            </w:r>
          </w:p>
        </w:tc>
      </w:tr>
      <w:tr w:rsidR="006A4133" w:rsidRPr="002442D4" w:rsidTr="006A4133">
        <w:tc>
          <w:tcPr>
            <w:tcW w:w="704" w:type="dxa"/>
            <w:tcBorders>
              <w:top w:val="single" w:sz="4" w:space="0" w:color="auto"/>
            </w:tcBorders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3575" w:type="dxa"/>
            <w:tcBorders>
              <w:top w:val="single" w:sz="4" w:space="0" w:color="auto"/>
            </w:tcBorders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auto"/>
            </w:tcBorders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auto"/>
            </w:tcBorders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</w:p>
        </w:tc>
      </w:tr>
      <w:tr w:rsidR="006A4133" w:rsidRPr="002442D4" w:rsidTr="006A4133">
        <w:tc>
          <w:tcPr>
            <w:tcW w:w="704" w:type="dxa"/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3" w:type="dxa"/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141" w:type="dxa"/>
            <w:gridSpan w:val="2"/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Zwischensumme</w:t>
            </w:r>
          </w:p>
        </w:tc>
        <w:tc>
          <w:tcPr>
            <w:tcW w:w="1566" w:type="dxa"/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21.892,00 €</w:t>
            </w:r>
          </w:p>
        </w:tc>
      </w:tr>
      <w:tr w:rsidR="006A4133" w:rsidRPr="002442D4" w:rsidTr="006A4133">
        <w:tc>
          <w:tcPr>
            <w:tcW w:w="704" w:type="dxa"/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3" w:type="dxa"/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141" w:type="dxa"/>
            <w:gridSpan w:val="2"/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zzgl. 19% MwSt.</w:t>
            </w:r>
          </w:p>
        </w:tc>
        <w:tc>
          <w:tcPr>
            <w:tcW w:w="1566" w:type="dxa"/>
          </w:tcPr>
          <w:p w:rsidR="006A4133" w:rsidRDefault="006A4133" w:rsidP="006A4133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4.159,00 €</w:t>
            </w:r>
          </w:p>
        </w:tc>
      </w:tr>
      <w:tr w:rsidR="006A4133" w:rsidRPr="006A4133" w:rsidTr="006A4133">
        <w:tc>
          <w:tcPr>
            <w:tcW w:w="704" w:type="dxa"/>
          </w:tcPr>
          <w:p w:rsidR="006A4133" w:rsidRPr="006A4133" w:rsidRDefault="006A4133" w:rsidP="006A4133">
            <w:pPr>
              <w:contextualSpacing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992" w:type="dxa"/>
          </w:tcPr>
          <w:p w:rsidR="006A4133" w:rsidRPr="006A4133" w:rsidRDefault="006A4133" w:rsidP="006A4133">
            <w:pPr>
              <w:contextualSpacing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993" w:type="dxa"/>
          </w:tcPr>
          <w:p w:rsidR="006A4133" w:rsidRPr="006A4133" w:rsidRDefault="006A4133" w:rsidP="006A4133">
            <w:pPr>
              <w:contextualSpacing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5141" w:type="dxa"/>
            <w:gridSpan w:val="2"/>
          </w:tcPr>
          <w:p w:rsidR="006A4133" w:rsidRPr="006A4133" w:rsidRDefault="006A4133" w:rsidP="006A4133">
            <w:pPr>
              <w:contextualSpacing/>
              <w:jc w:val="right"/>
              <w:rPr>
                <w:rFonts w:cs="Times New Roman"/>
                <w:b/>
                <w:szCs w:val="24"/>
              </w:rPr>
            </w:pPr>
            <w:r w:rsidRPr="006A4133">
              <w:rPr>
                <w:rFonts w:cs="Times New Roman"/>
                <w:b/>
                <w:szCs w:val="24"/>
              </w:rPr>
              <w:t>Gesamtsumme</w:t>
            </w:r>
          </w:p>
        </w:tc>
        <w:tc>
          <w:tcPr>
            <w:tcW w:w="1566" w:type="dxa"/>
          </w:tcPr>
          <w:p w:rsidR="006A4133" w:rsidRPr="006A4133" w:rsidRDefault="006A4133" w:rsidP="006A4133">
            <w:pPr>
              <w:contextualSpacing/>
              <w:jc w:val="right"/>
              <w:rPr>
                <w:rFonts w:cs="Times New Roman"/>
                <w:b/>
                <w:szCs w:val="24"/>
              </w:rPr>
            </w:pPr>
            <w:r w:rsidRPr="006A4133">
              <w:rPr>
                <w:rFonts w:cs="Times New Roman"/>
                <w:b/>
                <w:szCs w:val="24"/>
              </w:rPr>
              <w:t>26.051,00 €</w:t>
            </w:r>
          </w:p>
        </w:tc>
      </w:tr>
    </w:tbl>
    <w:p w:rsidR="002442D4" w:rsidRDefault="002442D4" w:rsidP="00B82C28">
      <w:pPr>
        <w:contextualSpacing/>
        <w:jc w:val="both"/>
        <w:rPr>
          <w:rFonts w:cs="Times New Roman"/>
          <w:szCs w:val="24"/>
        </w:rPr>
      </w:pPr>
    </w:p>
    <w:p w:rsidR="00C3752B" w:rsidRDefault="00C3752B" w:rsidP="00B82C28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HIER NOCH DIE BESCHREIBUNGEN ZU DEN OPTIONALEN POSITIONEN!</w:t>
      </w:r>
    </w:p>
    <w:p w:rsidR="00C3752B" w:rsidRDefault="00C3752B" w:rsidP="00B82C28">
      <w:pPr>
        <w:contextualSpacing/>
        <w:jc w:val="both"/>
        <w:rPr>
          <w:rFonts w:cs="Times New Roman"/>
          <w:szCs w:val="24"/>
        </w:rPr>
      </w:pPr>
    </w:p>
    <w:p w:rsidR="00C3752B" w:rsidRDefault="00C3752B" w:rsidP="00B82C28">
      <w:pPr>
        <w:contextualSpacing/>
        <w:jc w:val="both"/>
        <w:rPr>
          <w:rFonts w:cs="Times New Roman"/>
          <w:szCs w:val="24"/>
        </w:rPr>
      </w:pPr>
    </w:p>
    <w:p w:rsidR="002442D4" w:rsidRDefault="0091512B" w:rsidP="00B82C28">
      <w:pPr>
        <w:contextualSpacing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Optionale Positionen: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3575"/>
        <w:gridCol w:w="1566"/>
        <w:gridCol w:w="1566"/>
      </w:tblGrid>
      <w:tr w:rsidR="0091512B" w:rsidRPr="002442D4" w:rsidTr="007D22A1">
        <w:tc>
          <w:tcPr>
            <w:tcW w:w="704" w:type="dxa"/>
            <w:tcBorders>
              <w:bottom w:val="single" w:sz="4" w:space="0" w:color="auto"/>
            </w:tcBorders>
          </w:tcPr>
          <w:p w:rsidR="0091512B" w:rsidRPr="002442D4" w:rsidRDefault="0091512B" w:rsidP="007D22A1">
            <w:pPr>
              <w:contextualSpacing/>
              <w:jc w:val="both"/>
              <w:rPr>
                <w:rFonts w:cs="Times New Roman"/>
                <w:b/>
                <w:szCs w:val="24"/>
              </w:rPr>
            </w:pPr>
            <w:r w:rsidRPr="002442D4">
              <w:rPr>
                <w:rFonts w:cs="Times New Roman"/>
                <w:b/>
                <w:szCs w:val="24"/>
              </w:rPr>
              <w:t>Pos.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1512B" w:rsidRPr="002442D4" w:rsidRDefault="0091512B" w:rsidP="007D22A1">
            <w:pPr>
              <w:contextualSpacing/>
              <w:jc w:val="both"/>
              <w:rPr>
                <w:rFonts w:cs="Times New Roman"/>
                <w:b/>
                <w:szCs w:val="24"/>
              </w:rPr>
            </w:pPr>
            <w:r w:rsidRPr="002442D4">
              <w:rPr>
                <w:rFonts w:cs="Times New Roman"/>
                <w:b/>
                <w:szCs w:val="24"/>
              </w:rPr>
              <w:t>Anzahl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1512B" w:rsidRPr="002442D4" w:rsidRDefault="0091512B" w:rsidP="007D22A1">
            <w:pPr>
              <w:contextualSpacing/>
              <w:jc w:val="both"/>
              <w:rPr>
                <w:rFonts w:cs="Times New Roman"/>
                <w:b/>
                <w:szCs w:val="24"/>
              </w:rPr>
            </w:pPr>
            <w:r w:rsidRPr="002442D4">
              <w:rPr>
                <w:rFonts w:cs="Times New Roman"/>
                <w:b/>
                <w:szCs w:val="24"/>
              </w:rPr>
              <w:t>Einheit</w:t>
            </w:r>
          </w:p>
        </w:tc>
        <w:tc>
          <w:tcPr>
            <w:tcW w:w="3575" w:type="dxa"/>
            <w:tcBorders>
              <w:bottom w:val="single" w:sz="4" w:space="0" w:color="auto"/>
            </w:tcBorders>
          </w:tcPr>
          <w:p w:rsidR="0091512B" w:rsidRPr="002442D4" w:rsidRDefault="0091512B" w:rsidP="007D22A1">
            <w:pPr>
              <w:contextualSpacing/>
              <w:jc w:val="both"/>
              <w:rPr>
                <w:rFonts w:cs="Times New Roman"/>
                <w:b/>
                <w:szCs w:val="24"/>
              </w:rPr>
            </w:pPr>
            <w:r w:rsidRPr="002442D4">
              <w:rPr>
                <w:rFonts w:cs="Times New Roman"/>
                <w:b/>
                <w:szCs w:val="24"/>
              </w:rPr>
              <w:t>Beschreibung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91512B" w:rsidRPr="002442D4" w:rsidRDefault="0091512B" w:rsidP="007D22A1">
            <w:pPr>
              <w:contextualSpacing/>
              <w:jc w:val="both"/>
              <w:rPr>
                <w:rFonts w:cs="Times New Roman"/>
                <w:b/>
                <w:szCs w:val="24"/>
              </w:rPr>
            </w:pPr>
            <w:r w:rsidRPr="002442D4">
              <w:rPr>
                <w:rFonts w:cs="Times New Roman"/>
                <w:b/>
                <w:szCs w:val="24"/>
              </w:rPr>
              <w:t>Einzelpreis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91512B" w:rsidRPr="002442D4" w:rsidRDefault="0091512B" w:rsidP="007D22A1">
            <w:pPr>
              <w:contextualSpacing/>
              <w:jc w:val="both"/>
              <w:rPr>
                <w:rFonts w:cs="Times New Roman"/>
                <w:b/>
                <w:szCs w:val="24"/>
              </w:rPr>
            </w:pPr>
            <w:r w:rsidRPr="002442D4">
              <w:rPr>
                <w:rFonts w:cs="Times New Roman"/>
                <w:b/>
                <w:szCs w:val="24"/>
              </w:rPr>
              <w:t>Gesamtpreis</w:t>
            </w:r>
          </w:p>
        </w:tc>
      </w:tr>
      <w:tr w:rsidR="0091512B" w:rsidRPr="002442D4" w:rsidTr="007D22A1">
        <w:tc>
          <w:tcPr>
            <w:tcW w:w="704" w:type="dxa"/>
            <w:tcBorders>
              <w:top w:val="single" w:sz="4" w:space="0" w:color="auto"/>
            </w:tcBorders>
          </w:tcPr>
          <w:p w:rsidR="0091512B" w:rsidRPr="002442D4" w:rsidRDefault="0091512B" w:rsidP="007D22A1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91512B" w:rsidRPr="002442D4" w:rsidRDefault="0091512B" w:rsidP="007D22A1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91512B" w:rsidRPr="002442D4" w:rsidRDefault="0091512B" w:rsidP="007D22A1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Tage</w:t>
            </w:r>
          </w:p>
        </w:tc>
        <w:tc>
          <w:tcPr>
            <w:tcW w:w="3575" w:type="dxa"/>
            <w:tcBorders>
              <w:top w:val="single" w:sz="4" w:space="0" w:color="auto"/>
            </w:tcBorders>
          </w:tcPr>
          <w:p w:rsidR="0091512B" w:rsidRPr="002442D4" w:rsidRDefault="0091512B" w:rsidP="007D22A1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App</w:t>
            </w:r>
          </w:p>
        </w:tc>
        <w:tc>
          <w:tcPr>
            <w:tcW w:w="1566" w:type="dxa"/>
            <w:tcBorders>
              <w:top w:val="single" w:sz="4" w:space="0" w:color="auto"/>
            </w:tcBorders>
          </w:tcPr>
          <w:p w:rsidR="0091512B" w:rsidRPr="002442D4" w:rsidRDefault="0091512B" w:rsidP="007D22A1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710,00 €</w:t>
            </w:r>
          </w:p>
        </w:tc>
        <w:tc>
          <w:tcPr>
            <w:tcW w:w="1566" w:type="dxa"/>
            <w:tcBorders>
              <w:top w:val="single" w:sz="4" w:space="0" w:color="auto"/>
            </w:tcBorders>
          </w:tcPr>
          <w:p w:rsidR="0091512B" w:rsidRPr="002442D4" w:rsidRDefault="0091512B" w:rsidP="007D22A1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8.520,00 €</w:t>
            </w:r>
          </w:p>
        </w:tc>
      </w:tr>
      <w:tr w:rsidR="0091512B" w:rsidRPr="002442D4" w:rsidTr="0091512B">
        <w:tc>
          <w:tcPr>
            <w:tcW w:w="704" w:type="dxa"/>
          </w:tcPr>
          <w:p w:rsidR="0091512B" w:rsidRPr="002442D4" w:rsidRDefault="0091512B" w:rsidP="007D22A1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992" w:type="dxa"/>
          </w:tcPr>
          <w:p w:rsidR="0091512B" w:rsidRPr="002442D4" w:rsidRDefault="0091512B" w:rsidP="007D22A1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993" w:type="dxa"/>
          </w:tcPr>
          <w:p w:rsidR="0091512B" w:rsidRDefault="0091512B" w:rsidP="007D22A1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Tage</w:t>
            </w:r>
          </w:p>
        </w:tc>
        <w:tc>
          <w:tcPr>
            <w:tcW w:w="3575" w:type="dxa"/>
          </w:tcPr>
          <w:p w:rsidR="0091512B" w:rsidRDefault="0091512B" w:rsidP="007D22A1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Automatisierung der Dateneingabe</w:t>
            </w:r>
          </w:p>
        </w:tc>
        <w:tc>
          <w:tcPr>
            <w:tcW w:w="1566" w:type="dxa"/>
          </w:tcPr>
          <w:p w:rsidR="0091512B" w:rsidRDefault="0091512B" w:rsidP="007D22A1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710,00 €</w:t>
            </w:r>
          </w:p>
        </w:tc>
        <w:tc>
          <w:tcPr>
            <w:tcW w:w="1566" w:type="dxa"/>
          </w:tcPr>
          <w:p w:rsidR="0091512B" w:rsidRDefault="0091512B" w:rsidP="007D22A1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7.100,00 €</w:t>
            </w:r>
          </w:p>
        </w:tc>
      </w:tr>
      <w:tr w:rsidR="0091512B" w:rsidRPr="002442D4" w:rsidTr="0091512B">
        <w:tc>
          <w:tcPr>
            <w:tcW w:w="704" w:type="dxa"/>
            <w:tcBorders>
              <w:bottom w:val="single" w:sz="4" w:space="0" w:color="auto"/>
            </w:tcBorders>
          </w:tcPr>
          <w:p w:rsidR="0091512B" w:rsidRDefault="0091512B" w:rsidP="007D22A1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1512B" w:rsidRDefault="0091512B" w:rsidP="007D22A1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1512B" w:rsidRDefault="0091512B" w:rsidP="007D22A1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Tage</w:t>
            </w:r>
          </w:p>
        </w:tc>
        <w:tc>
          <w:tcPr>
            <w:tcW w:w="3575" w:type="dxa"/>
            <w:tcBorders>
              <w:bottom w:val="single" w:sz="4" w:space="0" w:color="auto"/>
            </w:tcBorders>
          </w:tcPr>
          <w:p w:rsidR="0091512B" w:rsidRDefault="0091512B" w:rsidP="007D22A1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Exchange Synchronisierung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91512B" w:rsidRDefault="0091512B" w:rsidP="007D22A1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710,00 €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91512B" w:rsidRDefault="0091512B" w:rsidP="007D22A1">
            <w:pPr>
              <w:contextualSpacing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2.130,00 €</w:t>
            </w:r>
          </w:p>
        </w:tc>
      </w:tr>
    </w:tbl>
    <w:p w:rsidR="0091512B" w:rsidRPr="0091512B" w:rsidRDefault="0091512B" w:rsidP="00B82C28">
      <w:pPr>
        <w:contextualSpacing/>
        <w:jc w:val="both"/>
        <w:rPr>
          <w:rFonts w:cs="Times New Roman"/>
          <w:b/>
          <w:szCs w:val="24"/>
        </w:rPr>
      </w:pPr>
    </w:p>
    <w:p w:rsidR="002442D4" w:rsidRDefault="002442D4" w:rsidP="00B82C28">
      <w:pPr>
        <w:contextualSpacing/>
        <w:jc w:val="both"/>
        <w:rPr>
          <w:rFonts w:cs="Times New Roman"/>
          <w:szCs w:val="24"/>
        </w:rPr>
      </w:pPr>
    </w:p>
    <w:p w:rsidR="002442D4" w:rsidRPr="00C3752B" w:rsidRDefault="00C3752B" w:rsidP="00B82C28">
      <w:pPr>
        <w:contextualSpacing/>
        <w:jc w:val="both"/>
        <w:rPr>
          <w:rFonts w:cs="Times New Roman"/>
          <w:b/>
          <w:szCs w:val="24"/>
        </w:rPr>
      </w:pPr>
      <w:bookmarkStart w:id="0" w:name="_GoBack"/>
      <w:r w:rsidRPr="00C3752B">
        <w:rPr>
          <w:rFonts w:cs="Times New Roman"/>
          <w:b/>
          <w:szCs w:val="24"/>
        </w:rPr>
        <w:t>Bindungsfrist des Angebots</w:t>
      </w:r>
    </w:p>
    <w:bookmarkEnd w:id="0"/>
    <w:p w:rsidR="00756B68" w:rsidRDefault="00C3752B" w:rsidP="009C3E83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Die </w:t>
      </w:r>
      <w:proofErr w:type="spellStart"/>
      <w:r>
        <w:rPr>
          <w:rFonts w:cs="Times New Roman"/>
          <w:szCs w:val="24"/>
        </w:rPr>
        <w:t>runIT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business</w:t>
      </w:r>
      <w:proofErr w:type="spellEnd"/>
      <w:r>
        <w:rPr>
          <w:rFonts w:cs="Times New Roman"/>
          <w:szCs w:val="24"/>
        </w:rPr>
        <w:t xml:space="preserve"> GmbH ist bis einschließlich XY. März 2017 an dieses Angebot gebunden.</w:t>
      </w:r>
    </w:p>
    <w:p w:rsidR="00C14D6A" w:rsidRDefault="00C14D6A" w:rsidP="009C3E83">
      <w:pPr>
        <w:contextualSpacing/>
        <w:jc w:val="both"/>
        <w:rPr>
          <w:rFonts w:cs="Times New Roman"/>
          <w:szCs w:val="24"/>
        </w:rPr>
      </w:pPr>
    </w:p>
    <w:p w:rsidR="00C14D6A" w:rsidRDefault="00C14D6A" w:rsidP="009C3E83">
      <w:pPr>
        <w:contextualSpacing/>
        <w:jc w:val="both"/>
        <w:rPr>
          <w:rFonts w:cs="Times New Roman"/>
          <w:szCs w:val="24"/>
        </w:rPr>
      </w:pPr>
    </w:p>
    <w:p w:rsidR="00C14D6A" w:rsidRDefault="00C14D6A" w:rsidP="009C3E83">
      <w:pPr>
        <w:contextualSpacing/>
        <w:jc w:val="both"/>
        <w:rPr>
          <w:rFonts w:cs="Times New Roman"/>
          <w:szCs w:val="24"/>
        </w:rPr>
      </w:pPr>
    </w:p>
    <w:p w:rsidR="00933920" w:rsidRPr="00933920" w:rsidRDefault="00C14D6A" w:rsidP="009C3E83">
      <w:pPr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6726E9">
        <w:rPr>
          <w:rFonts w:cs="Times New Roman"/>
          <w:szCs w:val="24"/>
        </w:rPr>
        <w:t xml:space="preserve"> </w:t>
      </w:r>
    </w:p>
    <w:p w:rsidR="00933920" w:rsidRPr="00933920" w:rsidRDefault="00933920" w:rsidP="009C3E83">
      <w:pPr>
        <w:contextualSpacing/>
        <w:jc w:val="both"/>
        <w:rPr>
          <w:rFonts w:cs="Times New Roman"/>
          <w:b/>
          <w:szCs w:val="24"/>
        </w:rPr>
      </w:pPr>
    </w:p>
    <w:sectPr w:rsidR="00933920" w:rsidRPr="00933920" w:rsidSect="00951715">
      <w:footerReference w:type="default" r:id="rId10"/>
      <w:pgSz w:w="12240" w:h="15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5D8" w:rsidRDefault="00BB65D8" w:rsidP="00951715">
      <w:pPr>
        <w:spacing w:line="240" w:lineRule="auto"/>
      </w:pPr>
      <w:r>
        <w:separator/>
      </w:r>
    </w:p>
  </w:endnote>
  <w:endnote w:type="continuationSeparator" w:id="0">
    <w:p w:rsidR="00BB65D8" w:rsidRDefault="00BB65D8" w:rsidP="00951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7165656"/>
      <w:docPartObj>
        <w:docPartGallery w:val="Page Numbers (Bottom of Page)"/>
        <w:docPartUnique/>
      </w:docPartObj>
    </w:sdtPr>
    <w:sdtEndPr/>
    <w:sdtContent>
      <w:p w:rsidR="00951715" w:rsidRDefault="00951715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52B">
          <w:rPr>
            <w:noProof/>
          </w:rPr>
          <w:t>4</w:t>
        </w:r>
        <w:r>
          <w:fldChar w:fldCharType="end"/>
        </w:r>
      </w:p>
    </w:sdtContent>
  </w:sdt>
  <w:p w:rsidR="00951715" w:rsidRDefault="009517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5D8" w:rsidRDefault="00BB65D8" w:rsidP="00951715">
      <w:pPr>
        <w:spacing w:line="240" w:lineRule="auto"/>
      </w:pPr>
      <w:r>
        <w:separator/>
      </w:r>
    </w:p>
  </w:footnote>
  <w:footnote w:type="continuationSeparator" w:id="0">
    <w:p w:rsidR="00BB65D8" w:rsidRDefault="00BB65D8" w:rsidP="009517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72"/>
    <w:rsid w:val="00004ACA"/>
    <w:rsid w:val="00013A05"/>
    <w:rsid w:val="00047691"/>
    <w:rsid w:val="0007073D"/>
    <w:rsid w:val="001175A7"/>
    <w:rsid w:val="0012048C"/>
    <w:rsid w:val="00127A16"/>
    <w:rsid w:val="001A7E79"/>
    <w:rsid w:val="001D3609"/>
    <w:rsid w:val="00204DE7"/>
    <w:rsid w:val="002442D4"/>
    <w:rsid w:val="00360372"/>
    <w:rsid w:val="0038228C"/>
    <w:rsid w:val="0050040F"/>
    <w:rsid w:val="00596BE0"/>
    <w:rsid w:val="006726E9"/>
    <w:rsid w:val="006A4133"/>
    <w:rsid w:val="0075557C"/>
    <w:rsid w:val="00756B68"/>
    <w:rsid w:val="007D545E"/>
    <w:rsid w:val="007E5D2E"/>
    <w:rsid w:val="00883EEE"/>
    <w:rsid w:val="008A63F8"/>
    <w:rsid w:val="0091512B"/>
    <w:rsid w:val="00933920"/>
    <w:rsid w:val="00951715"/>
    <w:rsid w:val="009C3E83"/>
    <w:rsid w:val="00B35E7A"/>
    <w:rsid w:val="00B82C28"/>
    <w:rsid w:val="00BB65D8"/>
    <w:rsid w:val="00BC5A23"/>
    <w:rsid w:val="00C14D6A"/>
    <w:rsid w:val="00C3752B"/>
    <w:rsid w:val="00CE60E2"/>
    <w:rsid w:val="00DC5464"/>
    <w:rsid w:val="00DE57F1"/>
    <w:rsid w:val="00E65BDE"/>
    <w:rsid w:val="00F4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EAC3"/>
  <w15:chartTrackingRefBased/>
  <w15:docId w15:val="{00FB718F-002E-4A12-BE1E-430197C6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951715"/>
    <w:pPr>
      <w:spacing w:after="0" w:line="360" w:lineRule="auto"/>
    </w:pPr>
    <w:rPr>
      <w:rFonts w:ascii="Times New Roman" w:hAnsi="Times New Roman"/>
      <w:sz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6037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4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51715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1715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51715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1715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it.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runit.d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948</Words>
  <Characters>5977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11</cp:revision>
  <dcterms:created xsi:type="dcterms:W3CDTF">2017-01-15T16:27:00Z</dcterms:created>
  <dcterms:modified xsi:type="dcterms:W3CDTF">2017-01-18T15:24:00Z</dcterms:modified>
</cp:coreProperties>
</file>