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82"/>
      </w:tblGrid>
      <w:tr>
        <w:trPr>
          <w:trHeight w:val="12701" w:hRule="exact"/>
        </w:trPr>
        <w:tc>
          <w:tcPr>
            <w:tcW w:type="dxa" w:w="10282"/>
            <w:shd w:fill="0B1F33"/>
            <w:vAlign w:val="center"/>
            <w:tcMar>
              <w:top w:w="400" w:type="dxa"/>
              <w:start w:w="450" w:type="dxa"/>
              <w:bottom w:w="400" w:type="dxa"/>
              <w:end w:w="450" w:type="dxa"/>
            </w:tcMar>
          </w:tcPr>
          <w:p>
            <w:pPr>
              <w:spacing w:after="400"/>
              <w:jc w:val="center"/>
            </w:pPr>
            <w:r/>
            <w:r>
              <w:rPr>
                <w:rFonts w:ascii="Aptos" w:hAnsi="Aptos" w:eastAsia="Arial Unicode MS"/>
                <w:b/>
                <w:color w:val="159A85"/>
                <w:sz w:val="34"/>
              </w:rPr>
              <w:t>PROFAB</w:t>
            </w:r>
          </w:p>
          <w:p>
            <w:pPr>
              <w:spacing w:after="240"/>
              <w:jc w:val="center"/>
            </w:pPr>
            <w:r>
              <w:rPr>
                <w:rFonts w:ascii="Aptos" w:hAnsi="Aptos" w:eastAsia="Arial Unicode MS"/>
                <w:b/>
                <w:color w:val="FFFFFF"/>
                <w:sz w:val="62"/>
              </w:rPr>
              <w:t>PROJECT LIFECYCLE</w:t>
            </w:r>
          </w:p>
          <w:p>
            <w:pPr>
              <w:spacing w:after="480"/>
              <w:jc w:val="center"/>
            </w:pPr>
            <w:r>
              <w:rPr>
                <w:rFonts w:ascii="Aptos" w:hAnsi="Aptos" w:eastAsia="Arial Unicode MS"/>
                <w:b/>
                <w:color w:val="CDE4F5"/>
                <w:sz w:val="36"/>
              </w:rPr>
              <w:t>JF Requirements Traceability &amp; Verification</w:t>
            </w:r>
          </w:p>
          <w:p>
            <w:pPr>
              <w:spacing w:after="480"/>
              <w:jc w:val="center"/>
            </w:pPr>
            <w:r>
              <w:rPr>
                <w:rFonts w:ascii="Aptos" w:hAnsi="Aptos" w:eastAsia="Arial Unicode MS"/>
                <w:color w:val="AFC6D9"/>
                <w:sz w:val="20"/>
              </w:rPr>
              <w:t>L1 clarity  •  L2 process control  •  L3 forms &amp; matrices</w:t>
            </w:r>
          </w:p>
          <w:p>
            <w:pPr>
              <w:spacing w:after="100"/>
              <w:jc w:val="center"/>
            </w:pPr>
            <w:r>
              <w:rPr>
                <w:rFonts w:ascii="Aptos" w:hAnsi="Aptos" w:eastAsia="Arial Unicode MS"/>
                <w:b/>
                <w:color w:val="159A85"/>
                <w:sz w:val="16"/>
              </w:rPr>
              <w:t>CONTROLLED REVIEW COPY</w:t>
            </w:r>
          </w:p>
          <w:p>
            <w:pPr>
              <w:spacing w:after="60"/>
              <w:jc w:val="center"/>
            </w:pPr>
            <w:r>
              <w:rPr>
                <w:rFonts w:ascii="Aptos" w:hAnsi="Aptos" w:eastAsia="Arial Unicode MS"/>
                <w:color w:val="D5E3EE"/>
                <w:sz w:val="18"/>
              </w:rPr>
              <w:t>30 August 2026  |  Version 1.0</w:t>
            </w:r>
          </w:p>
          <w:p>
            <w:pPr>
              <w:jc w:val="center"/>
            </w:pPr>
            <w:r>
              <w:rPr>
                <w:rFonts w:ascii="Aptos" w:hAnsi="Aptos" w:eastAsia="Arial Unicode MS"/>
                <w:color w:val="D5E3EE"/>
                <w:sz w:val="18"/>
              </w:rPr>
              <w:t>Prepared for ProFab / JF management review</w:t>
            </w:r>
          </w:p>
        </w:tc>
      </w:tr>
    </w:tbl>
    <w:p>
      <w:r>
        <w:br w:type="page"/>
      </w:r>
    </w:p>
    <w:p>
      <w:pPr>
        <w:keepNext/>
        <w:spacing w:after="60"/>
      </w:pPr>
      <w:r>
        <w:rPr>
          <w:rFonts w:ascii="Aptos" w:hAnsi="Aptos" w:eastAsia="Arial Unicode MS"/>
          <w:b/>
          <w:color w:val="159A85"/>
          <w:sz w:val="16"/>
        </w:rPr>
        <w:t>01 / EXECUTIVE ASSURANCE</w:t>
      </w:r>
    </w:p>
    <w:p>
      <w:pPr>
        <w:pStyle w:val="Heading1"/>
      </w:pPr>
      <w:r>
        <w:t>Lifecycle implemented and verified</w:t>
      </w:r>
    </w:p>
    <w:tbl>
      <w:tblPr>
        <w:tblW w:type="auto" w:w="0"/>
        <w:jc w:val="center"/>
        <w:tblLayout w:type="autofit"/>
        <w:tblLook w:firstColumn="1" w:firstRow="1" w:lastColumn="0" w:lastRow="0" w:noHBand="0" w:noVBand="1" w:val="04A0"/>
      </w:tblPr>
      <w:tblGrid>
        <w:gridCol w:w="10282"/>
      </w:tblGrid>
      <w:tr>
        <w:tc>
          <w:tcPr>
            <w:tcW w:type="dxa" w:w="10282"/>
            <w:shd w:fill="EAF7F3"/>
            <w:tcMar>
              <w:top w:w="120" w:type="dxa"/>
              <w:start w:w="150" w:type="dxa"/>
              <w:bottom w:w="120" w:type="dxa"/>
              <w:end w:w="150" w:type="dxa"/>
            </w:tcMar>
          </w:tcPr>
          <w:p>
            <w:pPr>
              <w:spacing w:after="60"/>
            </w:pPr>
            <w:r/>
            <w:r>
              <w:rPr>
                <w:rFonts w:ascii="Aptos" w:hAnsi="Aptos" w:eastAsia="Arial Unicode MS"/>
                <w:b/>
                <w:color w:val="0F7B5A"/>
                <w:sz w:val="20"/>
              </w:rPr>
              <w:t>Outcome</w:t>
            </w:r>
          </w:p>
          <w:p>
            <w:pPr>
              <w:spacing w:after="0" w:line="259" w:lineRule="auto"/>
            </w:pPr>
            <w:r>
              <w:rPr>
                <w:rFonts w:ascii="Aptos" w:hAnsi="Aptos" w:eastAsia="Arial Unicode MS"/>
                <w:color w:val="172033"/>
                <w:sz w:val="17"/>
              </w:rPr>
              <w:t>The application now implements the source-definable JF lifecycle as a connected three-layer operating model: a simple 13-node L1, a 14-node L2 with a distinct G1 and bounded commercial route, and an L3 containing all 52 controlled form records, two matrices, eight Gate/final controls, and enforceable completion logic.</w:t>
            </w:r>
          </w:p>
        </w:tc>
      </w:tr>
    </w:tbl>
    <w:p>
      <w:pPr>
        <w:spacing w:after="0"/>
      </w:pPr>
    </w:p>
    <w:tbl>
      <w:tblPr>
        <w:tblW w:type="auto" w:w="0"/>
        <w:jc w:val="center"/>
        <w:tblLayout w:type="autofit"/>
        <w:tblLook w:firstColumn="1" w:firstRow="1" w:lastColumn="0" w:lastRow="0" w:noHBand="0" w:noVBand="1" w:val="04A0"/>
      </w:tblPr>
      <w:tblGrid>
        <w:gridCol w:w="2570"/>
        <w:gridCol w:w="2570"/>
        <w:gridCol w:w="2570"/>
        <w:gridCol w:w="2570"/>
      </w:tblGrid>
      <w:tr>
        <w:tc>
          <w:tcPr>
            <w:tcW w:type="dxa" w:w="2570"/>
            <w:shd w:fill="EEF5FB"/>
            <w:tcMar>
              <w:top w:w="120" w:type="dxa"/>
              <w:start w:w="100" w:type="dxa"/>
              <w:bottom w:w="115" w:type="dxa"/>
              <w:end w:w="100" w:type="dxa"/>
            </w:tcMar>
            <w:vAlign w:val="center"/>
          </w:tcPr>
          <w:p>
            <w:pPr>
              <w:spacing w:after="40"/>
              <w:jc w:val="center"/>
            </w:pPr>
            <w:r/>
            <w:r>
              <w:rPr>
                <w:rFonts w:ascii="Aptos" w:hAnsi="Aptos" w:eastAsia="Arial Unicode MS"/>
                <w:b/>
                <w:color w:val="0B1F33"/>
                <w:sz w:val="38"/>
              </w:rPr>
              <w:t>13</w:t>
            </w:r>
          </w:p>
          <w:p>
            <w:pPr>
              <w:spacing w:after="0"/>
              <w:jc w:val="center"/>
            </w:pPr>
            <w:r>
              <w:rPr>
                <w:rFonts w:ascii="Aptos" w:hAnsi="Aptos" w:eastAsia="Arial Unicode MS"/>
                <w:b/>
                <w:color w:val="5D6A7E"/>
                <w:sz w:val="14"/>
              </w:rPr>
              <w:t>L1 lifecycle nodes</w:t>
            </w:r>
          </w:p>
        </w:tc>
        <w:tc>
          <w:tcPr>
            <w:tcW w:type="dxa" w:w="2570"/>
            <w:shd w:fill="EAF7F3"/>
            <w:tcMar>
              <w:top w:w="120" w:type="dxa"/>
              <w:start w:w="100" w:type="dxa"/>
              <w:bottom w:w="115" w:type="dxa"/>
              <w:end w:w="100" w:type="dxa"/>
            </w:tcMar>
            <w:vAlign w:val="center"/>
          </w:tcPr>
          <w:p>
            <w:pPr>
              <w:spacing w:after="40"/>
              <w:jc w:val="center"/>
            </w:pPr>
            <w:r/>
            <w:r>
              <w:rPr>
                <w:rFonts w:ascii="Aptos" w:hAnsi="Aptos" w:eastAsia="Arial Unicode MS"/>
                <w:b/>
                <w:color w:val="0B1F33"/>
                <w:sz w:val="38"/>
              </w:rPr>
              <w:t>14</w:t>
            </w:r>
          </w:p>
          <w:p>
            <w:pPr>
              <w:spacing w:after="0"/>
              <w:jc w:val="center"/>
            </w:pPr>
            <w:r>
              <w:rPr>
                <w:rFonts w:ascii="Aptos" w:hAnsi="Aptos" w:eastAsia="Arial Unicode MS"/>
                <w:b/>
                <w:color w:val="5D6A7E"/>
                <w:sz w:val="14"/>
              </w:rPr>
              <w:t>L2 process nodes</w:t>
            </w:r>
          </w:p>
        </w:tc>
        <w:tc>
          <w:tcPr>
            <w:tcW w:type="dxa" w:w="2570"/>
            <w:shd w:fill="FFF6E8"/>
            <w:tcMar>
              <w:top w:w="120" w:type="dxa"/>
              <w:start w:w="100" w:type="dxa"/>
              <w:bottom w:w="115" w:type="dxa"/>
              <w:end w:w="100" w:type="dxa"/>
            </w:tcMar>
            <w:vAlign w:val="center"/>
          </w:tcPr>
          <w:p>
            <w:pPr>
              <w:spacing w:after="40"/>
              <w:jc w:val="center"/>
            </w:pPr>
            <w:r/>
            <w:r>
              <w:rPr>
                <w:rFonts w:ascii="Aptos" w:hAnsi="Aptos" w:eastAsia="Arial Unicode MS"/>
                <w:b/>
                <w:color w:val="0B1F33"/>
                <w:sz w:val="38"/>
              </w:rPr>
              <w:t>52</w:t>
            </w:r>
          </w:p>
          <w:p>
            <w:pPr>
              <w:spacing w:after="0"/>
              <w:jc w:val="center"/>
            </w:pPr>
            <w:r>
              <w:rPr>
                <w:rFonts w:ascii="Aptos" w:hAnsi="Aptos" w:eastAsia="Arial Unicode MS"/>
                <w:b/>
                <w:color w:val="5D6A7E"/>
                <w:sz w:val="14"/>
              </w:rPr>
              <w:t>L3 controlled forms</w:t>
            </w:r>
          </w:p>
        </w:tc>
        <w:tc>
          <w:tcPr>
            <w:tcW w:type="dxa" w:w="2570"/>
            <w:shd w:fill="F0EEFA"/>
            <w:tcMar>
              <w:top w:w="120" w:type="dxa"/>
              <w:start w:w="100" w:type="dxa"/>
              <w:bottom w:w="115" w:type="dxa"/>
              <w:end w:w="100" w:type="dxa"/>
            </w:tcMar>
            <w:vAlign w:val="center"/>
          </w:tcPr>
          <w:p>
            <w:pPr>
              <w:spacing w:after="40"/>
              <w:jc w:val="center"/>
            </w:pPr>
            <w:r/>
            <w:r>
              <w:rPr>
                <w:rFonts w:ascii="Aptos" w:hAnsi="Aptos" w:eastAsia="Arial Unicode MS"/>
                <w:b/>
                <w:color w:val="0B1F33"/>
                <w:sz w:val="38"/>
              </w:rPr>
              <w:t>79</w:t>
            </w:r>
          </w:p>
          <w:p>
            <w:pPr>
              <w:spacing w:after="0"/>
              <w:jc w:val="center"/>
            </w:pPr>
            <w:r>
              <w:rPr>
                <w:rFonts w:ascii="Aptos" w:hAnsi="Aptos" w:eastAsia="Arial Unicode MS"/>
                <w:b/>
                <w:color w:val="5D6A7E"/>
                <w:sz w:val="14"/>
              </w:rPr>
              <w:t>functional &amp; UI checks</w:t>
            </w:r>
          </w:p>
        </w:tc>
      </w:tr>
    </w:tbl>
    <w:p>
      <w:pPr>
        <w:spacing w:after="0"/>
      </w:pPr>
    </w:p>
    <w:p>
      <w:pPr>
        <w:pStyle w:val="Heading2"/>
      </w:pPr>
      <w:r>
        <w:t>What is complete</w:t>
      </w:r>
    </w:p>
    <w:p>
      <w:pPr>
        <w:pStyle w:val="ListBullet"/>
        <w:spacing w:after="50"/>
      </w:pPr>
      <w:r>
        <w:rPr>
          <w:rFonts w:ascii="Aptos" w:hAnsi="Aptos" w:eastAsia="Arial Unicode MS"/>
          <w:color w:val="172033"/>
          <w:sz w:val="18"/>
        </w:rPr>
        <w:t>Exact Initial Contact → Final Close high-level lifecycle with five primary Gates.</w:t>
      </w:r>
    </w:p>
    <w:p>
      <w:pPr>
        <w:pStyle w:val="ListBullet"/>
        <w:spacing w:after="50"/>
      </w:pPr>
      <w:r>
        <w:rPr>
          <w:rFonts w:ascii="Aptos" w:hAnsi="Aptos" w:eastAsia="Arial Unicode MS"/>
          <w:color w:val="172033"/>
          <w:sz w:val="18"/>
        </w:rPr>
        <w:t>Evidence → Rules → Eligibility → Route → Score qualification logic; no score can override a hard rule.</w:t>
      </w:r>
    </w:p>
    <w:p>
      <w:pPr>
        <w:pStyle w:val="ListBullet"/>
        <w:spacing w:after="50"/>
      </w:pPr>
      <w:r>
        <w:rPr>
          <w:rFonts w:ascii="Aptos" w:hAnsi="Aptos" w:eastAsia="Arial Unicode MS"/>
          <w:color w:val="172033"/>
          <w:sz w:val="18"/>
        </w:rPr>
        <w:t>All 52 indexed/supplemental documents represented as operational L3 records, each with a 10-field controlled schema.</w:t>
      </w:r>
    </w:p>
    <w:p>
      <w:pPr>
        <w:pStyle w:val="ListBullet"/>
        <w:spacing w:after="50"/>
      </w:pPr>
      <w:r>
        <w:rPr>
          <w:rFonts w:ascii="Aptos" w:hAnsi="Aptos" w:eastAsia="Arial Unicode MS"/>
          <w:color w:val="172033"/>
          <w:sz w:val="18"/>
        </w:rPr>
        <w:t>Approval Matrix: 52 forms + 5 Gates = 57 rows across six approval-role columns.</w:t>
      </w:r>
    </w:p>
    <w:p>
      <w:pPr>
        <w:pStyle w:val="ListBullet"/>
        <w:spacing w:after="50"/>
      </w:pPr>
      <w:r>
        <w:rPr>
          <w:rFonts w:ascii="Aptos" w:hAnsi="Aptos" w:eastAsia="Arial Unicode MS"/>
          <w:color w:val="172033"/>
          <w:sz w:val="18"/>
        </w:rPr>
        <w:t>Responsibility Matrix: 18 whole-project delivery areas across four core-party columns.</w:t>
      </w:r>
    </w:p>
    <w:p>
      <w:pPr>
        <w:pStyle w:val="ListBullet"/>
        <w:spacing w:after="50"/>
      </w:pPr>
      <w:r>
        <w:rPr>
          <w:rFonts w:ascii="Aptos" w:hAnsi="Aptos" w:eastAsia="Arial Unicode MS"/>
          <w:color w:val="172033"/>
          <w:sz w:val="18"/>
        </w:rPr>
        <w:t>Completion, signature, approval, task, applicability and N/A controls tested for bypass resistance.</w:t>
      </w:r>
    </w:p>
    <w:p>
      <w:pPr>
        <w:pStyle w:val="ListBullet"/>
        <w:spacing w:after="50"/>
      </w:pPr>
      <w:r>
        <w:rPr>
          <w:rFonts w:ascii="Aptos" w:hAnsi="Aptos" w:eastAsia="Arial Unicode MS"/>
          <w:color w:val="172033"/>
          <w:sz w:val="18"/>
        </w:rPr>
        <w:t>Production build, console/network health, responsive layouts and accessible control naming verified.</w:t>
      </w:r>
    </w:p>
    <w:p>
      <w:pPr>
        <w:pStyle w:val="Heading2"/>
      </w:pPr>
      <w:r>
        <w:t>Important qualification</w:t>
      </w:r>
    </w:p>
    <w:tbl>
      <w:tblPr>
        <w:tblW w:type="auto" w:w="0"/>
        <w:jc w:val="center"/>
        <w:tblLayout w:type="autofit"/>
        <w:tblLook w:firstColumn="1" w:firstRow="1" w:lastColumn="0" w:lastRow="0" w:noHBand="0" w:noVBand="1" w:val="04A0"/>
      </w:tblPr>
      <w:tblGrid>
        <w:gridCol w:w="10282"/>
      </w:tblGrid>
      <w:tr>
        <w:tc>
          <w:tcPr>
            <w:tcW w:type="dxa" w:w="10282"/>
            <w:shd w:fill="FFF6E8"/>
            <w:tcMar>
              <w:top w:w="120" w:type="dxa"/>
              <w:start w:w="150" w:type="dxa"/>
              <w:bottom w:w="120" w:type="dxa"/>
              <w:end w:w="150" w:type="dxa"/>
            </w:tcMar>
          </w:tcPr>
          <w:p>
            <w:pPr>
              <w:spacing w:after="60"/>
            </w:pPr>
            <w:r/>
            <w:r>
              <w:rPr>
                <w:rFonts w:ascii="Aptos" w:hAnsi="Aptos" w:eastAsia="Arial Unicode MS"/>
                <w:b/>
                <w:color w:val="B85D05"/>
                <w:sz w:val="20"/>
              </w:rPr>
              <w:t>No policy was invented</w:t>
            </w:r>
          </w:p>
          <w:p>
            <w:pPr>
              <w:spacing w:after="0" w:line="259" w:lineRule="auto"/>
            </w:pPr>
            <w:r>
              <w:rPr>
                <w:rFonts w:ascii="Aptos" w:hAnsi="Aptos" w:eastAsia="Arial Unicode MS"/>
                <w:color w:val="172033"/>
                <w:sz w:val="17"/>
              </w:rPr>
              <w:t>The provided Master Requirements explicitly leaves several legal, payment, signing and release decisions as TBD. The system exposes working control points but does not silently convert those open decisions into final company policy. Section 9 lists every retained TBD.</w:t>
            </w:r>
          </w:p>
        </w:tc>
      </w:tr>
    </w:tbl>
    <w:p>
      <w:pPr>
        <w:spacing w:after="0"/>
      </w:pPr>
    </w:p>
    <w:p>
      <w:pPr>
        <w:pStyle w:val="Heading2"/>
      </w:pPr>
      <w:r>
        <w:t>Report map</w:t>
      </w:r>
    </w:p>
    <w:tbl>
      <w:tblPr>
        <w:tblStyle w:val="TableGrid"/>
        <w:tblW w:type="auto" w:w="0"/>
        <w:jc w:val="center"/>
        <w:tblLook w:firstColumn="1" w:firstRow="1" w:lastColumn="0" w:lastRow="0" w:noHBand="0" w:noVBand="1" w:val="04A0"/>
        <w:tblLayout w:type="fixed"/>
      </w:tblPr>
      <w:tblGrid>
        <w:gridCol w:w="5141"/>
        <w:gridCol w:w="5141"/>
      </w:tblGrid>
      <w:tr>
        <w:trPr>
          <w:tblHeader w:val="true"/>
          <w:cantSplit/>
        </w:trPr>
        <w:tc>
          <w:tcPr>
            <w:tcW w:type="dxa" w:w="1152"/>
            <w:shd w:fill="1F5A94"/>
            <w:tcMar>
              <w:top w:w="80" w:type="dxa"/>
              <w:start w:w="90" w:type="dxa"/>
              <w:bottom w:w="80" w:type="dxa"/>
              <w:end w:w="90" w:type="dxa"/>
            </w:tcMar>
            <w:vAlign w:val="center"/>
          </w:tcPr>
          <w:p>
            <w:pPr>
              <w:spacing w:after="0"/>
              <w:jc w:val="left"/>
            </w:pPr>
            <w:r/>
            <w:r>
              <w:rPr>
                <w:rFonts w:ascii="Aptos" w:hAnsi="Aptos" w:eastAsia="Arial Unicode MS"/>
                <w:b/>
                <w:color w:val="FFFFFF"/>
                <w:sz w:val="17"/>
              </w:rPr>
              <w:t>Section</w:t>
            </w:r>
          </w:p>
        </w:tc>
        <w:tc>
          <w:tcPr>
            <w:tcW w:type="dxa" w:w="8496"/>
            <w:shd w:fill="1F5A94"/>
            <w:tcMar>
              <w:top w:w="80" w:type="dxa"/>
              <w:start w:w="90" w:type="dxa"/>
              <w:bottom w:w="80" w:type="dxa"/>
              <w:end w:w="90" w:type="dxa"/>
            </w:tcMar>
            <w:vAlign w:val="center"/>
          </w:tcPr>
          <w:p>
            <w:pPr>
              <w:spacing w:after="0"/>
              <w:jc w:val="left"/>
            </w:pPr>
            <w:r/>
            <w:r>
              <w:rPr>
                <w:rFonts w:ascii="Aptos" w:hAnsi="Aptos" w:eastAsia="Arial Unicode MS"/>
                <w:b/>
                <w:color w:val="FFFFFF"/>
                <w:sz w:val="17"/>
              </w:rPr>
              <w:t>Contents</w:t>
            </w:r>
          </w:p>
        </w:tc>
      </w:tr>
      <w:tr>
        <w:trPr>
          <w:cantSplit/>
        </w:trPr>
        <w:tc>
          <w:tcPr>
            <w:tcW w:type="dxa" w:w="1152"/>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1</w:t>
            </w:r>
          </w:p>
        </w:tc>
        <w:tc>
          <w:tcPr>
            <w:tcW w:type="dxa" w:w="8496"/>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Executive assurance</w:t>
            </w:r>
          </w:p>
        </w:tc>
      </w:tr>
      <w:tr>
        <w:trPr>
          <w:cantSplit/>
        </w:trPr>
        <w:tc>
          <w:tcPr>
            <w:tcW w:type="dxa" w:w="115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2</w:t>
            </w:r>
          </w:p>
        </w:tc>
        <w:tc>
          <w:tcPr>
            <w:tcW w:type="dxa" w:w="84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Evidence basis &amp; source integrity</w:t>
            </w:r>
          </w:p>
        </w:tc>
      </w:tr>
      <w:tr>
        <w:trPr>
          <w:cantSplit/>
        </w:trPr>
        <w:tc>
          <w:tcPr>
            <w:tcW w:type="dxa" w:w="1152"/>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3</w:t>
            </w:r>
          </w:p>
        </w:tc>
        <w:tc>
          <w:tcPr>
            <w:tcW w:type="dxa" w:w="8496"/>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Three-layer lifecycle architecture</w:t>
            </w:r>
          </w:p>
        </w:tc>
      </w:tr>
      <w:tr>
        <w:trPr>
          <w:cantSplit/>
        </w:trPr>
        <w:tc>
          <w:tcPr>
            <w:tcW w:type="dxa" w:w="115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4</w:t>
            </w:r>
          </w:p>
        </w:tc>
        <w:tc>
          <w:tcPr>
            <w:tcW w:type="dxa" w:w="84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JF requirement traceability</w:t>
            </w:r>
          </w:p>
        </w:tc>
      </w:tr>
      <w:tr>
        <w:trPr>
          <w:cantSplit/>
        </w:trPr>
        <w:tc>
          <w:tcPr>
            <w:tcW w:type="dxa" w:w="1152"/>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5</w:t>
            </w:r>
          </w:p>
        </w:tc>
        <w:tc>
          <w:tcPr>
            <w:tcW w:type="dxa" w:w="8496"/>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Complete L3 form &amp; matrix register</w:t>
            </w:r>
          </w:p>
        </w:tc>
      </w:tr>
      <w:tr>
        <w:trPr>
          <w:cantSplit/>
        </w:trPr>
        <w:tc>
          <w:tcPr>
            <w:tcW w:type="dxa" w:w="115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6</w:t>
            </w:r>
          </w:p>
        </w:tc>
        <w:tc>
          <w:tcPr>
            <w:tcW w:type="dxa" w:w="84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Gate 1 enforcement design</w:t>
            </w:r>
          </w:p>
        </w:tc>
      </w:tr>
      <w:tr>
        <w:trPr>
          <w:cantSplit/>
        </w:trPr>
        <w:tc>
          <w:tcPr>
            <w:tcW w:type="dxa" w:w="1152"/>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7</w:t>
            </w:r>
          </w:p>
        </w:tc>
        <w:tc>
          <w:tcPr>
            <w:tcW w:type="dxa" w:w="8496"/>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Scenario and regression verification</w:t>
            </w:r>
          </w:p>
        </w:tc>
      </w:tr>
      <w:tr>
        <w:trPr>
          <w:cantSplit/>
        </w:trPr>
        <w:tc>
          <w:tcPr>
            <w:tcW w:type="dxa" w:w="115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8</w:t>
            </w:r>
          </w:p>
        </w:tc>
        <w:tc>
          <w:tcPr>
            <w:tcW w:type="dxa" w:w="84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Bug &amp; UI review</w:t>
            </w:r>
          </w:p>
        </w:tc>
      </w:tr>
      <w:tr>
        <w:trPr>
          <w:cantSplit/>
        </w:trPr>
        <w:tc>
          <w:tcPr>
            <w:tcW w:type="dxa" w:w="1152"/>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9</w:t>
            </w:r>
          </w:p>
        </w:tc>
        <w:tc>
          <w:tcPr>
            <w:tcW w:type="dxa" w:w="8496"/>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Retained management decisions (TBD)</w:t>
            </w:r>
          </w:p>
        </w:tc>
      </w:tr>
      <w:tr>
        <w:trPr>
          <w:cantSplit/>
        </w:trPr>
        <w:tc>
          <w:tcPr>
            <w:tcW w:type="dxa" w:w="115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10</w:t>
            </w:r>
          </w:p>
        </w:tc>
        <w:tc>
          <w:tcPr>
            <w:tcW w:type="dxa" w:w="84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7"/>
              </w:rPr>
              <w:t>Acceptance conclusion</w:t>
            </w:r>
          </w:p>
        </w:tc>
      </w:tr>
    </w:tbl>
    <w:p>
      <w:r>
        <w:br w:type="page"/>
      </w:r>
    </w:p>
    <w:p>
      <w:pPr>
        <w:keepNext/>
        <w:spacing w:after="60"/>
      </w:pPr>
      <w:r>
        <w:rPr>
          <w:rFonts w:ascii="Aptos" w:hAnsi="Aptos" w:eastAsia="Arial Unicode MS"/>
          <w:b/>
          <w:color w:val="159A85"/>
          <w:sz w:val="16"/>
        </w:rPr>
        <w:t>02 / EVIDENCE BASIS</w:t>
      </w:r>
    </w:p>
    <w:p>
      <w:pPr>
        <w:pStyle w:val="Heading1"/>
      </w:pPr>
      <w:r>
        <w:t>Source integrity and interpretation rules</w:t>
      </w:r>
    </w:p>
    <w:tbl>
      <w:tblPr>
        <w:tblW w:type="auto" w:w="0"/>
        <w:jc w:val="center"/>
        <w:tblLayout w:type="autofit"/>
        <w:tblLook w:firstColumn="1" w:firstRow="1" w:lastColumn="0" w:lastRow="0" w:noHBand="0" w:noVBand="1" w:val="04A0"/>
      </w:tblPr>
      <w:tblGrid>
        <w:gridCol w:w="10282"/>
      </w:tblGrid>
      <w:tr>
        <w:tc>
          <w:tcPr>
            <w:tcW w:type="dxa" w:w="10282"/>
            <w:shd w:fill="EEF5FB"/>
            <w:tcMar>
              <w:top w:w="120" w:type="dxa"/>
              <w:start w:w="150" w:type="dxa"/>
              <w:bottom w:w="120" w:type="dxa"/>
              <w:end w:w="150" w:type="dxa"/>
            </w:tcMar>
          </w:tcPr>
          <w:p>
            <w:pPr>
              <w:spacing w:after="60"/>
            </w:pPr>
            <w:r/>
            <w:r>
              <w:rPr>
                <w:rFonts w:ascii="Aptos" w:hAnsi="Aptos" w:eastAsia="Arial Unicode MS"/>
                <w:b/>
                <w:color w:val="1F5A94"/>
                <w:sz w:val="20"/>
              </w:rPr>
              <w:t>Quotation basis</w:t>
            </w:r>
          </w:p>
          <w:p>
            <w:pPr>
              <w:spacing w:after="0" w:line="259" w:lineRule="auto"/>
            </w:pPr>
            <w:r>
              <w:rPr>
                <w:rFonts w:ascii="Aptos" w:hAnsi="Aptos" w:eastAsia="Arial Unicode MS"/>
                <w:color w:val="172033"/>
                <w:sz w:val="17"/>
              </w:rPr>
              <w:t>The left-hand wording in the traceability table is quoted verbatim from JF_Master_Requirements_All_Conversations_2026-08-29.docx. That file describes itself as a compiled Master Requirements summary, not a word-for-word conversation transcript. Accordingly, this report labels the text as source wording from the Master summary—not as a direct transcript quote.</w:t>
            </w:r>
          </w:p>
        </w:tc>
      </w:tr>
    </w:tbl>
    <w:p>
      <w:pPr>
        <w:spacing w:after="0"/>
      </w:pPr>
    </w:p>
    <w:tbl>
      <w:tblPr>
        <w:tblStyle w:val="TableGrid"/>
        <w:tblW w:type="auto" w:w="0"/>
        <w:jc w:val="center"/>
        <w:tblLook w:firstColumn="1" w:firstRow="1" w:lastColumn="0" w:lastRow="0" w:noHBand="0" w:noVBand="1" w:val="04A0"/>
        <w:tblLayout w:type="fixed"/>
      </w:tblPr>
      <w:tblGrid>
        <w:gridCol w:w="3427"/>
        <w:gridCol w:w="3427"/>
        <w:gridCol w:w="3427"/>
      </w:tblGrid>
      <w:tr>
        <w:trPr>
          <w:tblHeader w:val="true"/>
          <w:cantSplit/>
        </w:trPr>
        <w:tc>
          <w:tcPr>
            <w:tcW w:type="dxa" w:w="3600"/>
            <w:shd w:fill="1F5A94"/>
            <w:tcMar>
              <w:top w:w="80" w:type="dxa"/>
              <w:start w:w="90" w:type="dxa"/>
              <w:bottom w:w="80" w:type="dxa"/>
              <w:end w:w="90" w:type="dxa"/>
            </w:tcMar>
            <w:vAlign w:val="center"/>
          </w:tcPr>
          <w:p>
            <w:pPr>
              <w:spacing w:after="0"/>
              <w:jc w:val="left"/>
            </w:pPr>
            <w:r/>
            <w:r>
              <w:rPr>
                <w:rFonts w:ascii="Aptos" w:hAnsi="Aptos" w:eastAsia="Arial Unicode MS"/>
                <w:b/>
                <w:color w:val="FFFFFF"/>
                <w:sz w:val="15"/>
              </w:rPr>
              <w:t>Evidence source</w:t>
            </w:r>
          </w:p>
        </w:tc>
        <w:tc>
          <w:tcPr>
            <w:tcW w:type="dxa" w:w="3744"/>
            <w:shd w:fill="1F5A94"/>
            <w:tcMar>
              <w:top w:w="80" w:type="dxa"/>
              <w:start w:w="90" w:type="dxa"/>
              <w:bottom w:w="80" w:type="dxa"/>
              <w:end w:w="90" w:type="dxa"/>
            </w:tcMar>
            <w:vAlign w:val="center"/>
          </w:tcPr>
          <w:p>
            <w:pPr>
              <w:spacing w:after="0"/>
              <w:jc w:val="left"/>
            </w:pPr>
            <w:r/>
            <w:r>
              <w:rPr>
                <w:rFonts w:ascii="Aptos" w:hAnsi="Aptos" w:eastAsia="Arial Unicode MS"/>
                <w:b/>
                <w:color w:val="FFFFFF"/>
                <w:sz w:val="15"/>
              </w:rPr>
              <w:t>Use in this review</w:t>
            </w:r>
          </w:p>
        </w:tc>
        <w:tc>
          <w:tcPr>
            <w:tcW w:type="dxa" w:w="2448"/>
            <w:shd w:fill="1F5A94"/>
            <w:tcMar>
              <w:top w:w="80" w:type="dxa"/>
              <w:start w:w="90" w:type="dxa"/>
              <w:bottom w:w="80" w:type="dxa"/>
              <w:end w:w="90" w:type="dxa"/>
            </w:tcMar>
            <w:vAlign w:val="center"/>
          </w:tcPr>
          <w:p>
            <w:pPr>
              <w:spacing w:after="0"/>
              <w:jc w:val="left"/>
            </w:pPr>
            <w:r/>
            <w:r>
              <w:rPr>
                <w:rFonts w:ascii="Aptos" w:hAnsi="Aptos" w:eastAsia="Arial Unicode MS"/>
                <w:b/>
                <w:color w:val="FFFFFF"/>
                <w:sz w:val="15"/>
              </w:rPr>
              <w:t>Observed condition</w:t>
            </w:r>
          </w:p>
        </w:tc>
      </w:tr>
      <w:tr>
        <w:trPr>
          <w:cantSplit/>
        </w:trPr>
        <w:tc>
          <w:tcPr>
            <w:tcW w:type="dxa" w:w="3600"/>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JF_Master_Requirements_All_Conversations_2026-08-29.docx</w:t>
            </w:r>
          </w:p>
        </w:tc>
        <w:tc>
          <w:tcPr>
            <w:tcW w:type="dxa" w:w="3744"/>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Requirements, working directions and explicit TBDs</w:t>
            </w:r>
          </w:p>
        </w:tc>
        <w:tc>
          <w:tcPr>
            <w:tcW w:type="dxa" w:w="2448"/>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12 rendered pages; internally coherent summary</w:t>
            </w:r>
          </w:p>
        </w:tc>
      </w:tr>
      <w:tr>
        <w:trPr>
          <w:cantSplit/>
        </w:trPr>
        <w:tc>
          <w:tcPr>
            <w:tcW w:type="dxa" w:w="360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Combined Forms.pdf</w:t>
            </w:r>
          </w:p>
        </w:tc>
        <w:tc>
          <w:tcPr>
            <w:tcW w:type="dxa" w:w="374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Controlled index, included form bodies, revisions and numbering</w:t>
            </w:r>
          </w:p>
        </w:tc>
        <w:tc>
          <w:tcPr>
            <w:tcW w:type="dxa" w:w="244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193 pages; forms usable through page 178; pages 179–193 corrupted binary render</w:t>
            </w:r>
          </w:p>
        </w:tc>
      </w:tr>
      <w:tr>
        <w:trPr>
          <w:cantSplit/>
        </w:trPr>
        <w:tc>
          <w:tcPr>
            <w:tcW w:type="dxa" w:w="3600"/>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Current PROFAB Project Lifecycle application</w:t>
            </w:r>
          </w:p>
        </w:tc>
        <w:tc>
          <w:tcPr>
            <w:tcW w:type="dxa" w:w="3744"/>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Existing architecture, implementation target and verification surface</w:t>
            </w:r>
          </w:p>
        </w:tc>
        <w:tc>
          <w:tcPr>
            <w:tcW w:type="dxa" w:w="2448"/>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Production build and browser flows tested locally</w:t>
            </w:r>
          </w:p>
        </w:tc>
      </w:tr>
    </w:tbl>
    <w:p>
      <w:pPr>
        <w:pStyle w:val="Heading2"/>
      </w:pPr>
      <w:r>
        <w:t>Controlled-form reconciliation</w:t>
      </w:r>
    </w:p>
    <w:tbl>
      <w:tblPr>
        <w:tblW w:type="auto" w:w="0"/>
        <w:jc w:val="center"/>
        <w:tblLayout w:type="autofit"/>
        <w:tblLook w:firstColumn="1" w:firstRow="1" w:lastColumn="0" w:lastRow="0" w:noHBand="0" w:noVBand="1" w:val="04A0"/>
      </w:tblPr>
      <w:tblGrid>
        <w:gridCol w:w="2570"/>
        <w:gridCol w:w="2570"/>
        <w:gridCol w:w="2570"/>
        <w:gridCol w:w="2570"/>
      </w:tblGrid>
      <w:tr>
        <w:tc>
          <w:tcPr>
            <w:tcW w:type="dxa" w:w="2570"/>
            <w:shd w:fill="EEF5FB"/>
            <w:tcMar>
              <w:top w:w="120" w:type="dxa"/>
              <w:start w:w="100" w:type="dxa"/>
              <w:bottom w:w="115" w:type="dxa"/>
              <w:end w:w="100" w:type="dxa"/>
            </w:tcMar>
            <w:vAlign w:val="center"/>
          </w:tcPr>
          <w:p>
            <w:pPr>
              <w:spacing w:after="40"/>
              <w:jc w:val="center"/>
            </w:pPr>
            <w:r/>
            <w:r>
              <w:rPr>
                <w:rFonts w:ascii="Aptos" w:hAnsi="Aptos" w:eastAsia="Arial Unicode MS"/>
                <w:b/>
                <w:color w:val="0B1F33"/>
                <w:sz w:val="38"/>
              </w:rPr>
              <w:t>52</w:t>
            </w:r>
          </w:p>
          <w:p>
            <w:pPr>
              <w:spacing w:after="0"/>
              <w:jc w:val="center"/>
            </w:pPr>
            <w:r>
              <w:rPr>
                <w:rFonts w:ascii="Aptos" w:hAnsi="Aptos" w:eastAsia="Arial Unicode MS"/>
                <w:b/>
                <w:color w:val="5D6A7E"/>
                <w:sz w:val="14"/>
              </w:rPr>
              <w:t>digital L3 records</w:t>
            </w:r>
          </w:p>
        </w:tc>
        <w:tc>
          <w:tcPr>
            <w:tcW w:type="dxa" w:w="2570"/>
            <w:shd w:fill="EAF7F3"/>
            <w:tcMar>
              <w:top w:w="120" w:type="dxa"/>
              <w:start w:w="100" w:type="dxa"/>
              <w:bottom w:w="115" w:type="dxa"/>
              <w:end w:w="100" w:type="dxa"/>
            </w:tcMar>
            <w:vAlign w:val="center"/>
          </w:tcPr>
          <w:p>
            <w:pPr>
              <w:spacing w:after="40"/>
              <w:jc w:val="center"/>
            </w:pPr>
            <w:r/>
            <w:r>
              <w:rPr>
                <w:rFonts w:ascii="Aptos" w:hAnsi="Aptos" w:eastAsia="Arial Unicode MS"/>
                <w:b/>
                <w:color w:val="0B1F33"/>
                <w:sz w:val="38"/>
              </w:rPr>
              <w:t>21</w:t>
            </w:r>
          </w:p>
          <w:p>
            <w:pPr>
              <w:spacing w:after="0"/>
              <w:jc w:val="center"/>
            </w:pPr>
            <w:r>
              <w:rPr>
                <w:rFonts w:ascii="Aptos" w:hAnsi="Aptos" w:eastAsia="Arial Unicode MS"/>
                <w:b/>
                <w:color w:val="5D6A7E"/>
                <w:sz w:val="14"/>
              </w:rPr>
              <w:t>included templates</w:t>
            </w:r>
          </w:p>
        </w:tc>
        <w:tc>
          <w:tcPr>
            <w:tcW w:type="dxa" w:w="2570"/>
            <w:shd w:fill="FFF6E8"/>
            <w:tcMar>
              <w:top w:w="120" w:type="dxa"/>
              <w:start w:w="100" w:type="dxa"/>
              <w:bottom w:w="115" w:type="dxa"/>
              <w:end w:w="100" w:type="dxa"/>
            </w:tcMar>
            <w:vAlign w:val="center"/>
          </w:tcPr>
          <w:p>
            <w:pPr>
              <w:spacing w:after="40"/>
              <w:jc w:val="center"/>
            </w:pPr>
            <w:r/>
            <w:r>
              <w:rPr>
                <w:rFonts w:ascii="Aptos" w:hAnsi="Aptos" w:eastAsia="Arial Unicode MS"/>
                <w:b/>
                <w:color w:val="0B1F33"/>
                <w:sz w:val="38"/>
              </w:rPr>
              <w:t>30</w:t>
            </w:r>
          </w:p>
          <w:p>
            <w:pPr>
              <w:spacing w:after="0"/>
              <w:jc w:val="center"/>
            </w:pPr>
            <w:r>
              <w:rPr>
                <w:rFonts w:ascii="Aptos" w:hAnsi="Aptos" w:eastAsia="Arial Unicode MS"/>
                <w:b/>
                <w:color w:val="5D6A7E"/>
                <w:sz w:val="14"/>
              </w:rPr>
              <w:t>index-only templates</w:t>
            </w:r>
          </w:p>
        </w:tc>
        <w:tc>
          <w:tcPr>
            <w:tcW w:type="dxa" w:w="2570"/>
            <w:shd w:fill="F0EEFA"/>
            <w:tcMar>
              <w:top w:w="120" w:type="dxa"/>
              <w:start w:w="100" w:type="dxa"/>
              <w:bottom w:w="115" w:type="dxa"/>
              <w:end w:w="100" w:type="dxa"/>
            </w:tcMar>
            <w:vAlign w:val="center"/>
          </w:tcPr>
          <w:p>
            <w:pPr>
              <w:spacing w:after="40"/>
              <w:jc w:val="center"/>
            </w:pPr>
            <w:r/>
            <w:r>
              <w:rPr>
                <w:rFonts w:ascii="Aptos" w:hAnsi="Aptos" w:eastAsia="Arial Unicode MS"/>
                <w:b/>
                <w:color w:val="0B1F33"/>
                <w:sz w:val="38"/>
              </w:rPr>
              <w:t>1</w:t>
            </w:r>
          </w:p>
          <w:p>
            <w:pPr>
              <w:spacing w:after="0"/>
              <w:jc w:val="center"/>
            </w:pPr>
            <w:r>
              <w:rPr>
                <w:rFonts w:ascii="Aptos" w:hAnsi="Aptos" w:eastAsia="Arial Unicode MS"/>
                <w:b/>
                <w:color w:val="5D6A7E"/>
                <w:sz w:val="14"/>
              </w:rPr>
              <w:t>supplemental template</w:t>
            </w:r>
          </w:p>
        </w:tc>
      </w:tr>
    </w:tbl>
    <w:p>
      <w:pPr>
        <w:spacing w:after="0"/>
      </w:pPr>
    </w:p>
    <w:p>
      <w:pPr>
        <w:pStyle w:val="ListBullet"/>
        <w:spacing w:after="50"/>
      </w:pPr>
      <w:r>
        <w:rPr>
          <w:rFonts w:ascii="Aptos" w:hAnsi="Aptos" w:eastAsia="Arial Unicode MS"/>
          <w:color w:val="172033"/>
          <w:sz w:val="18"/>
        </w:rPr>
        <w:t>The nine-page PDF register contains 51 indexed entries.</w:t>
      </w:r>
    </w:p>
    <w:p>
      <w:pPr>
        <w:pStyle w:val="ListBullet"/>
        <w:spacing w:after="50"/>
      </w:pPr>
      <w:r>
        <w:rPr>
          <w:rFonts w:ascii="Aptos" w:hAnsi="Aptos" w:eastAsia="Arial Unicode MS"/>
          <w:color w:val="172033"/>
          <w:sz w:val="18"/>
        </w:rPr>
        <w:t>SMO 2.13.1 exists on PDF pages 114–116 but is omitted from that index; it is preserved as the 52nd supplemental controlled record.</w:t>
      </w:r>
    </w:p>
    <w:p>
      <w:pPr>
        <w:pStyle w:val="ListBullet"/>
        <w:spacing w:after="50"/>
      </w:pPr>
      <w:r>
        <w:rPr>
          <w:rFonts w:ascii="Aptos" w:hAnsi="Aptos" w:eastAsia="Arial Unicode MS"/>
          <w:color w:val="172033"/>
          <w:sz w:val="18"/>
        </w:rPr>
        <w:t>The 21 Included records use the source form pages/revisions as evidence; 30 Index Only records receive a controlled operational digital schema without pretending that a missing PDF body was supplied.</w:t>
      </w:r>
    </w:p>
    <w:p>
      <w:pPr>
        <w:pStyle w:val="ListBullet"/>
        <w:spacing w:after="50"/>
      </w:pPr>
      <w:r>
        <w:rPr>
          <w:rFonts w:ascii="Aptos" w:hAnsi="Aptos" w:eastAsia="Arial Unicode MS"/>
          <w:color w:val="172033"/>
          <w:sz w:val="18"/>
        </w:rPr>
        <w:t>PDF pages 179–193 render embedded XLSX/DOCX binary data and are not treated as forms.</w:t>
      </w:r>
    </w:p>
    <w:p>
      <w:pPr>
        <w:pStyle w:val="ListBullet"/>
        <w:spacing w:after="50"/>
      </w:pPr>
      <w:r>
        <w:rPr>
          <w:rFonts w:ascii="Aptos" w:hAnsi="Aptos" w:eastAsia="Arial Unicode MS"/>
          <w:color w:val="172033"/>
          <w:sz w:val="18"/>
        </w:rPr>
        <w:t>DC/CD and SOW/PSO/WMA numbering conflicts are exposed to users rather than silently normalized away.</w:t>
      </w:r>
    </w:p>
    <w:p>
      <w:pPr>
        <w:spacing w:after="0"/>
        <w:jc w:val="center"/>
      </w:pPr>
      <w:r>
        <w:drawing>
          <wp:inline xmlns:a="http://schemas.openxmlformats.org/drawingml/2006/main" xmlns:pic="http://schemas.openxmlformats.org/drawingml/2006/picture">
            <wp:extent cx="6126480" cy="1077056"/>
            <wp:docPr id="1" name="Picture 1"/>
            <wp:cNvGraphicFramePr>
              <a:graphicFrameLocks noChangeAspect="1"/>
            </wp:cNvGraphicFramePr>
            <a:graphic>
              <a:graphicData uri="http://schemas.openxmlformats.org/drawingml/2006/picture">
                <pic:pic>
                  <pic:nvPicPr>
                    <pic:cNvPr id="0" name="05-l3-form-register-source-qa.png"/>
                    <pic:cNvPicPr/>
                  </pic:nvPicPr>
                  <pic:blipFill>
                    <a:blip r:embed="rId13"/>
                    <a:stretch>
                      <a:fillRect/>
                    </a:stretch>
                  </pic:blipFill>
                  <pic:spPr>
                    <a:xfrm>
                      <a:off x="0" y="0"/>
                      <a:ext cx="6126480" cy="1077056"/>
                    </a:xfrm>
                    <a:prstGeom prst="rect"/>
                  </pic:spPr>
                </pic:pic>
              </a:graphicData>
            </a:graphic>
          </wp:inline>
        </w:drawing>
      </w:r>
    </w:p>
    <w:p>
      <w:pPr>
        <w:pStyle w:val="Caption"/>
        <w:jc w:val="center"/>
      </w:pPr>
      <w:r>
        <w:rPr>
          <w:rFonts w:ascii="Aptos" w:hAnsi="Aptos" w:eastAsia="Arial Unicode MS"/>
          <w:i/>
          <w:color w:val="5D6A7E"/>
          <w:sz w:val="16"/>
        </w:rPr>
        <w:t>Figure 1. L3 source-package QA visible inside the live Approval Matrix.</w:t>
      </w:r>
    </w:p>
    <w:p>
      <w:r>
        <w:br w:type="page"/>
      </w:r>
    </w:p>
    <w:p>
      <w:pPr>
        <w:keepNext/>
        <w:spacing w:after="60"/>
      </w:pPr>
      <w:r>
        <w:rPr>
          <w:rFonts w:ascii="Aptos" w:hAnsi="Aptos" w:eastAsia="Arial Unicode MS"/>
          <w:b/>
          <w:color w:val="159A85"/>
          <w:sz w:val="16"/>
        </w:rPr>
        <w:t>03 / THREE-LAYER ARCHITECTURE</w:t>
      </w:r>
    </w:p>
    <w:p>
      <w:pPr>
        <w:pStyle w:val="Heading1"/>
      </w:pPr>
      <w:r>
        <w:t>L1 is simple; L2 explains; L3 executes</w:t>
      </w:r>
    </w:p>
    <w:tbl>
      <w:tblPr>
        <w:tblW w:type="auto" w:w="0"/>
        <w:jc w:val="center"/>
        <w:tblLayout w:type="autofit"/>
        <w:tblLook w:firstColumn="1" w:firstRow="1" w:lastColumn="0" w:lastRow="0" w:noHBand="0" w:noVBand="1" w:val="04A0"/>
      </w:tblPr>
      <w:tblGrid>
        <w:gridCol w:w="10282"/>
      </w:tblGrid>
      <w:tr>
        <w:tc>
          <w:tcPr>
            <w:tcW w:type="dxa" w:w="10282"/>
            <w:shd w:fill="EAF7F3"/>
            <w:tcMar>
              <w:top w:w="120" w:type="dxa"/>
              <w:start w:w="150" w:type="dxa"/>
              <w:bottom w:w="120" w:type="dxa"/>
              <w:end w:w="150" w:type="dxa"/>
            </w:tcMar>
          </w:tcPr>
          <w:p>
            <w:pPr>
              <w:spacing w:after="60"/>
            </w:pPr>
            <w:r/>
            <w:r>
              <w:rPr>
                <w:rFonts w:ascii="Aptos" w:hAnsi="Aptos" w:eastAsia="Arial Unicode MS"/>
                <w:b/>
                <w:color w:val="0F7B5A"/>
                <w:sz w:val="20"/>
              </w:rPr>
              <w:t>Layer contract</w:t>
            </w:r>
          </w:p>
          <w:p>
            <w:pPr>
              <w:spacing w:after="0" w:line="259" w:lineRule="auto"/>
            </w:pPr>
            <w:r>
              <w:rPr>
                <w:rFonts w:ascii="Aptos" w:hAnsi="Aptos" w:eastAsia="Arial Unicode MS"/>
                <w:color w:val="172033"/>
                <w:sz w:val="17"/>
              </w:rPr>
              <w:t>L1 answers ‘where is the project?’ L2 answers ‘what process and Gate comes next?’ L3 answers ‘what evidence, form, matrix, signature, approval or task makes that status true?’</w:t>
            </w:r>
          </w:p>
        </w:tc>
      </w:tr>
    </w:tbl>
    <w:p>
      <w:pPr>
        <w:spacing w:after="0"/>
      </w:pPr>
    </w:p>
    <w:p>
      <w:pPr>
        <w:pStyle w:val="Heading2"/>
      </w:pPr>
      <w:r>
        <w:t>L1 — exact high-level lifecycle</w:t>
      </w:r>
    </w:p>
    <w:p>
      <w:pPr>
        <w:spacing w:after="0"/>
        <w:jc w:val="center"/>
      </w:pPr>
      <w:r>
        <w:drawing>
          <wp:inline xmlns:a="http://schemas.openxmlformats.org/drawingml/2006/main" xmlns:pic="http://schemas.openxmlformats.org/drawingml/2006/picture">
            <wp:extent cx="6217920" cy="643705"/>
            <wp:docPr id="2" name="Picture 2"/>
            <wp:cNvGraphicFramePr>
              <a:graphicFrameLocks noChangeAspect="1"/>
            </wp:cNvGraphicFramePr>
            <a:graphic>
              <a:graphicData uri="http://schemas.openxmlformats.org/drawingml/2006/picture">
                <pic:pic>
                  <pic:nvPicPr>
                    <pic:cNvPr id="0" name="01b-l1-13-step-overview.png"/>
                    <pic:cNvPicPr/>
                  </pic:nvPicPr>
                  <pic:blipFill>
                    <a:blip r:embed="rId14"/>
                    <a:stretch>
                      <a:fillRect/>
                    </a:stretch>
                  </pic:blipFill>
                  <pic:spPr>
                    <a:xfrm>
                      <a:off x="0" y="0"/>
                      <a:ext cx="6217920" cy="643705"/>
                    </a:xfrm>
                    <a:prstGeom prst="rect"/>
                  </pic:spPr>
                </pic:pic>
              </a:graphicData>
            </a:graphic>
          </wp:inline>
        </w:drawing>
      </w:r>
    </w:p>
    <w:p>
      <w:pPr>
        <w:pStyle w:val="Caption"/>
        <w:jc w:val="center"/>
      </w:pPr>
      <w:r>
        <w:rPr>
          <w:rFonts w:ascii="Aptos" w:hAnsi="Aptos" w:eastAsia="Arial Unicode MS"/>
          <w:i/>
          <w:color w:val="5D6A7E"/>
          <w:sz w:val="16"/>
        </w:rPr>
        <w:t>Figure 2. The complete 13-node L1 lifecycle and five primary Gates.</w:t>
      </w:r>
    </w:p>
    <w:tbl>
      <w:tblPr>
        <w:tblStyle w:val="TableGrid"/>
        <w:tblW w:type="auto" w:w="0"/>
        <w:jc w:val="center"/>
        <w:tblLook w:firstColumn="1" w:firstRow="1" w:lastColumn="0" w:lastRow="0" w:noHBand="0" w:noVBand="1" w:val="04A0"/>
        <w:tblLayout w:type="fixed"/>
      </w:tblPr>
      <w:tblGrid>
        <w:gridCol w:w="2570"/>
        <w:gridCol w:w="2570"/>
        <w:gridCol w:w="2570"/>
        <w:gridCol w:w="2570"/>
      </w:tblGrid>
      <w:tr>
        <w:trPr>
          <w:tblHeader w:val="true"/>
          <w:cantSplit/>
        </w:trPr>
        <w:tc>
          <w:tcPr>
            <w:tcW w:type="dxa" w:w="504"/>
            <w:shd w:fill="0B1F33"/>
            <w:tcMar>
              <w:top w:w="80" w:type="dxa"/>
              <w:start w:w="90" w:type="dxa"/>
              <w:bottom w:w="80" w:type="dxa"/>
              <w:end w:w="90" w:type="dxa"/>
            </w:tcMar>
            <w:vAlign w:val="center"/>
          </w:tcPr>
          <w:p>
            <w:pPr>
              <w:spacing w:after="0"/>
              <w:jc w:val="left"/>
            </w:pPr>
            <w:r/>
            <w:r>
              <w:rPr>
                <w:rFonts w:ascii="Aptos" w:hAnsi="Aptos" w:eastAsia="Arial Unicode MS"/>
                <w:b/>
                <w:color w:val="FFFFFF"/>
                <w:sz w:val="14"/>
              </w:rPr>
              <w:t>#</w:t>
            </w:r>
          </w:p>
        </w:tc>
        <w:tc>
          <w:tcPr>
            <w:tcW w:type="dxa" w:w="1296"/>
            <w:shd w:fill="0B1F33"/>
            <w:tcMar>
              <w:top w:w="80" w:type="dxa"/>
              <w:start w:w="90" w:type="dxa"/>
              <w:bottom w:w="80" w:type="dxa"/>
              <w:end w:w="90" w:type="dxa"/>
            </w:tcMar>
            <w:vAlign w:val="center"/>
          </w:tcPr>
          <w:p>
            <w:pPr>
              <w:spacing w:after="0"/>
              <w:jc w:val="left"/>
            </w:pPr>
            <w:r/>
            <w:r>
              <w:rPr>
                <w:rFonts w:ascii="Aptos" w:hAnsi="Aptos" w:eastAsia="Arial Unicode MS"/>
                <w:b/>
                <w:color w:val="FFFFFF"/>
                <w:sz w:val="14"/>
              </w:rPr>
              <w:t>Type</w:t>
            </w:r>
          </w:p>
        </w:tc>
        <w:tc>
          <w:tcPr>
            <w:tcW w:type="dxa" w:w="4536"/>
            <w:shd w:fill="0B1F33"/>
            <w:tcMar>
              <w:top w:w="80" w:type="dxa"/>
              <w:start w:w="90" w:type="dxa"/>
              <w:bottom w:w="80" w:type="dxa"/>
              <w:end w:w="90" w:type="dxa"/>
            </w:tcMar>
            <w:vAlign w:val="center"/>
          </w:tcPr>
          <w:p>
            <w:pPr>
              <w:spacing w:after="0"/>
              <w:jc w:val="left"/>
            </w:pPr>
            <w:r/>
            <w:r>
              <w:rPr>
                <w:rFonts w:ascii="Aptos" w:hAnsi="Aptos" w:eastAsia="Arial Unicode MS"/>
                <w:b/>
                <w:color w:val="FFFFFF"/>
                <w:sz w:val="14"/>
              </w:rPr>
              <w:t>L1 node</w:t>
            </w:r>
          </w:p>
        </w:tc>
        <w:tc>
          <w:tcPr>
            <w:tcW w:type="dxa" w:w="3240"/>
            <w:shd w:fill="0B1F33"/>
            <w:tcMar>
              <w:top w:w="80" w:type="dxa"/>
              <w:start w:w="90" w:type="dxa"/>
              <w:bottom w:w="80" w:type="dxa"/>
              <w:end w:w="90" w:type="dxa"/>
            </w:tcMar>
            <w:vAlign w:val="center"/>
          </w:tcPr>
          <w:p>
            <w:pPr>
              <w:spacing w:after="0"/>
              <w:jc w:val="left"/>
            </w:pPr>
            <w:r/>
            <w:r>
              <w:rPr>
                <w:rFonts w:ascii="Aptos" w:hAnsi="Aptos" w:eastAsia="Arial Unicode MS"/>
                <w:b/>
                <w:color w:val="FFFFFF"/>
                <w:sz w:val="14"/>
              </w:rPr>
              <w:t>Linked L2 node(s)</w:t>
            </w:r>
          </w:p>
        </w:tc>
      </w:tr>
      <w:tr>
        <w:trPr>
          <w:cantSplit/>
        </w:trPr>
        <w:tc>
          <w:tcPr>
            <w:tcW w:type="dxa" w:w="504"/>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1</w:t>
            </w:r>
          </w:p>
        </w:tc>
        <w:tc>
          <w:tcPr>
            <w:tcW w:type="dxa" w:w="129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Start</w:t>
            </w:r>
          </w:p>
        </w:tc>
        <w:tc>
          <w:tcPr>
            <w:tcW w:type="dxa" w:w="453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INITIAL CONTACT</w:t>
            </w:r>
          </w:p>
        </w:tc>
        <w:tc>
          <w:tcPr>
            <w:tcW w:type="dxa" w:w="324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Project Start</w:t>
            </w:r>
          </w:p>
        </w:tc>
      </w:tr>
      <w:tr>
        <w:trPr>
          <w:cantSplit/>
        </w:trPr>
        <w:tc>
          <w:tcPr>
            <w:tcW w:type="dxa" w:w="50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2</w:t>
            </w:r>
          </w:p>
        </w:tc>
        <w:tc>
          <w:tcPr>
            <w:tcW w:type="dxa" w:w="12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Phase</w:t>
            </w:r>
          </w:p>
        </w:tc>
        <w:tc>
          <w:tcPr>
            <w:tcW w:type="dxa" w:w="453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OPPORTUNITY &amp; QUALIFICATION</w:t>
            </w:r>
          </w:p>
        </w:tc>
        <w:tc>
          <w:tcPr>
            <w:tcW w:type="dxa" w:w="324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Opportunity &amp; Qualification</w:t>
            </w:r>
          </w:p>
        </w:tc>
      </w:tr>
      <w:tr>
        <w:trPr>
          <w:cantSplit/>
        </w:trPr>
        <w:tc>
          <w:tcPr>
            <w:tcW w:type="dxa" w:w="504"/>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3</w:t>
            </w:r>
          </w:p>
        </w:tc>
        <w:tc>
          <w:tcPr>
            <w:tcW w:type="dxa" w:w="129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Primary Gate</w:t>
            </w:r>
          </w:p>
        </w:tc>
        <w:tc>
          <w:tcPr>
            <w:tcW w:type="dxa" w:w="453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G1 — QUALIFIED &amp; COMMERCIALLY ENGAGED</w:t>
            </w:r>
          </w:p>
        </w:tc>
        <w:tc>
          <w:tcPr>
            <w:tcW w:type="dxa" w:w="324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G1 — Qualified &amp; Commercially Engaged</w:t>
            </w:r>
          </w:p>
        </w:tc>
      </w:tr>
      <w:tr>
        <w:trPr>
          <w:cantSplit/>
        </w:trPr>
        <w:tc>
          <w:tcPr>
            <w:tcW w:type="dxa" w:w="50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4</w:t>
            </w:r>
          </w:p>
        </w:tc>
        <w:tc>
          <w:tcPr>
            <w:tcW w:type="dxa" w:w="12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Phase</w:t>
            </w:r>
          </w:p>
        </w:tc>
        <w:tc>
          <w:tcPr>
            <w:tcW w:type="dxa" w:w="453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PRE-CONSTRUCTION</w:t>
            </w:r>
          </w:p>
        </w:tc>
        <w:tc>
          <w:tcPr>
            <w:tcW w:type="dxa" w:w="324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Commercial Pathway + Pre-Construction</w:t>
            </w:r>
          </w:p>
        </w:tc>
      </w:tr>
      <w:tr>
        <w:trPr>
          <w:cantSplit/>
        </w:trPr>
        <w:tc>
          <w:tcPr>
            <w:tcW w:type="dxa" w:w="504"/>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5</w:t>
            </w:r>
          </w:p>
        </w:tc>
        <w:tc>
          <w:tcPr>
            <w:tcW w:type="dxa" w:w="129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Primary Gate</w:t>
            </w:r>
          </w:p>
        </w:tc>
        <w:tc>
          <w:tcPr>
            <w:tcW w:type="dxa" w:w="453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G2 — PROJECT / TECHNICAL COMMITMENT</w:t>
            </w:r>
          </w:p>
        </w:tc>
        <w:tc>
          <w:tcPr>
            <w:tcW w:type="dxa" w:w="324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G2 — Project / Technical Commitment</w:t>
            </w:r>
          </w:p>
        </w:tc>
      </w:tr>
      <w:tr>
        <w:trPr>
          <w:cantSplit/>
        </w:trPr>
        <w:tc>
          <w:tcPr>
            <w:tcW w:type="dxa" w:w="50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6</w:t>
            </w:r>
          </w:p>
        </w:tc>
        <w:tc>
          <w:tcPr>
            <w:tcW w:type="dxa" w:w="12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Phase</w:t>
            </w:r>
          </w:p>
        </w:tc>
        <w:tc>
          <w:tcPr>
            <w:tcW w:type="dxa" w:w="453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PRODUCTION READINESS</w:t>
            </w:r>
          </w:p>
        </w:tc>
        <w:tc>
          <w:tcPr>
            <w:tcW w:type="dxa" w:w="324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Production Readiness</w:t>
            </w:r>
          </w:p>
        </w:tc>
      </w:tr>
      <w:tr>
        <w:trPr>
          <w:cantSplit/>
        </w:trPr>
        <w:tc>
          <w:tcPr>
            <w:tcW w:type="dxa" w:w="504"/>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7</w:t>
            </w:r>
          </w:p>
        </w:tc>
        <w:tc>
          <w:tcPr>
            <w:tcW w:type="dxa" w:w="129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Primary Gate</w:t>
            </w:r>
          </w:p>
        </w:tc>
        <w:tc>
          <w:tcPr>
            <w:tcW w:type="dxa" w:w="453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G3 — PRODUCTION AUTHORIZATION</w:t>
            </w:r>
          </w:p>
        </w:tc>
        <w:tc>
          <w:tcPr>
            <w:tcW w:type="dxa" w:w="324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G3 — Production Authorization</w:t>
            </w:r>
          </w:p>
        </w:tc>
      </w:tr>
      <w:tr>
        <w:trPr>
          <w:cantSplit/>
        </w:trPr>
        <w:tc>
          <w:tcPr>
            <w:tcW w:type="dxa" w:w="50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8</w:t>
            </w:r>
          </w:p>
        </w:tc>
        <w:tc>
          <w:tcPr>
            <w:tcW w:type="dxa" w:w="12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Phase</w:t>
            </w:r>
          </w:p>
        </w:tc>
        <w:tc>
          <w:tcPr>
            <w:tcW w:type="dxa" w:w="453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FACTORY PRODUCTION</w:t>
            </w:r>
          </w:p>
        </w:tc>
        <w:tc>
          <w:tcPr>
            <w:tcW w:type="dxa" w:w="324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Factory Production</w:t>
            </w:r>
          </w:p>
        </w:tc>
      </w:tr>
      <w:tr>
        <w:trPr>
          <w:cantSplit/>
        </w:trPr>
        <w:tc>
          <w:tcPr>
            <w:tcW w:type="dxa" w:w="504"/>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9</w:t>
            </w:r>
          </w:p>
        </w:tc>
        <w:tc>
          <w:tcPr>
            <w:tcW w:type="dxa" w:w="129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Primary Gate</w:t>
            </w:r>
          </w:p>
        </w:tc>
        <w:tc>
          <w:tcPr>
            <w:tcW w:type="dxa" w:w="453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G4 — FACTORY COMPLETION / RELEASE</w:t>
            </w:r>
          </w:p>
        </w:tc>
        <w:tc>
          <w:tcPr>
            <w:tcW w:type="dxa" w:w="324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G4 — Factory Completion / Release</w:t>
            </w:r>
          </w:p>
        </w:tc>
      </w:tr>
      <w:tr>
        <w:trPr>
          <w:cantSplit/>
        </w:trPr>
        <w:tc>
          <w:tcPr>
            <w:tcW w:type="dxa" w:w="50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10</w:t>
            </w:r>
          </w:p>
        </w:tc>
        <w:tc>
          <w:tcPr>
            <w:tcW w:type="dxa" w:w="12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Phase</w:t>
            </w:r>
          </w:p>
        </w:tc>
        <w:tc>
          <w:tcPr>
            <w:tcW w:type="dxa" w:w="453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DELIVERY / PROJECT COMPLETION</w:t>
            </w:r>
          </w:p>
        </w:tc>
        <w:tc>
          <w:tcPr>
            <w:tcW w:type="dxa" w:w="324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Delivery / Project Completion</w:t>
            </w:r>
          </w:p>
        </w:tc>
      </w:tr>
      <w:tr>
        <w:trPr>
          <w:cantSplit/>
        </w:trPr>
        <w:tc>
          <w:tcPr>
            <w:tcW w:type="dxa" w:w="504"/>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11</w:t>
            </w:r>
          </w:p>
        </w:tc>
        <w:tc>
          <w:tcPr>
            <w:tcW w:type="dxa" w:w="129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Primary Gate</w:t>
            </w:r>
          </w:p>
        </w:tc>
        <w:tc>
          <w:tcPr>
            <w:tcW w:type="dxa" w:w="453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G5 — PROJECT COMPLETION / WARRANTY START</w:t>
            </w:r>
          </w:p>
        </w:tc>
        <w:tc>
          <w:tcPr>
            <w:tcW w:type="dxa" w:w="324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G5 — Project Completion / Warranty Start</w:t>
            </w:r>
          </w:p>
        </w:tc>
      </w:tr>
      <w:tr>
        <w:trPr>
          <w:cantSplit/>
        </w:trPr>
        <w:tc>
          <w:tcPr>
            <w:tcW w:type="dxa" w:w="50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12</w:t>
            </w:r>
          </w:p>
        </w:tc>
        <w:tc>
          <w:tcPr>
            <w:tcW w:type="dxa" w:w="12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Phase</w:t>
            </w:r>
          </w:p>
        </w:tc>
        <w:tc>
          <w:tcPr>
            <w:tcW w:type="dxa" w:w="453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COMMISSIONING &amp; WARRANTY</w:t>
            </w:r>
          </w:p>
        </w:tc>
        <w:tc>
          <w:tcPr>
            <w:tcW w:type="dxa" w:w="324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Commissioning &amp; Warranty</w:t>
            </w:r>
          </w:p>
        </w:tc>
      </w:tr>
      <w:tr>
        <w:trPr>
          <w:cantSplit/>
        </w:trPr>
        <w:tc>
          <w:tcPr>
            <w:tcW w:type="dxa" w:w="504"/>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13</w:t>
            </w:r>
          </w:p>
        </w:tc>
        <w:tc>
          <w:tcPr>
            <w:tcW w:type="dxa" w:w="129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End</w:t>
            </w:r>
          </w:p>
        </w:tc>
        <w:tc>
          <w:tcPr>
            <w:tcW w:type="dxa" w:w="453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FINAL CLOSE</w:t>
            </w:r>
          </w:p>
        </w:tc>
        <w:tc>
          <w:tcPr>
            <w:tcW w:type="dxa" w:w="324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Final Close</w:t>
            </w:r>
          </w:p>
        </w:tc>
      </w:tr>
    </w:tbl>
    <w:p>
      <w:pPr>
        <w:spacing w:after="0"/>
        <w:jc w:val="center"/>
      </w:pPr>
      <w:r>
        <w:drawing>
          <wp:inline xmlns:a="http://schemas.openxmlformats.org/drawingml/2006/main" xmlns:pic="http://schemas.openxmlformats.org/drawingml/2006/picture">
            <wp:extent cx="6217920" cy="4080510"/>
            <wp:docPr id="3" name="Picture 3"/>
            <wp:cNvGraphicFramePr>
              <a:graphicFrameLocks noChangeAspect="1"/>
            </wp:cNvGraphicFramePr>
            <a:graphic>
              <a:graphicData uri="http://schemas.openxmlformats.org/drawingml/2006/picture">
                <pic:pic>
                  <pic:nvPicPr>
                    <pic:cNvPr id="0" name="01-l1-project-lifecycle.png"/>
                    <pic:cNvPicPr/>
                  </pic:nvPicPr>
                  <pic:blipFill>
                    <a:blip r:embed="rId15"/>
                    <a:stretch>
                      <a:fillRect/>
                    </a:stretch>
                  </pic:blipFill>
                  <pic:spPr>
                    <a:xfrm>
                      <a:off x="0" y="0"/>
                      <a:ext cx="6217920" cy="4080510"/>
                    </a:xfrm>
                    <a:prstGeom prst="rect"/>
                  </pic:spPr>
                </pic:pic>
              </a:graphicData>
            </a:graphic>
          </wp:inline>
        </w:drawing>
      </w:r>
    </w:p>
    <w:p>
      <w:pPr>
        <w:pStyle w:val="Caption"/>
        <w:jc w:val="center"/>
      </w:pPr>
      <w:r>
        <w:rPr>
          <w:rFonts w:ascii="Aptos" w:hAnsi="Aptos" w:eastAsia="Arial Unicode MS"/>
          <w:i/>
          <w:color w:val="5D6A7E"/>
          <w:sz w:val="16"/>
        </w:rPr>
        <w:t>Figure 3. L1 phase cards show explicit links into their L2 process nodes.</w:t>
      </w:r>
    </w:p>
    <w:p>
      <w:pPr>
        <w:sectPr>
          <w:headerReference w:type="default" r:id="rId9"/>
          <w:footerReference w:type="default" r:id="rId10"/>
          <w:headerReference w:type="first" r:id="rId11"/>
          <w:footerReference w:type="first" r:id="rId12"/>
          <w:pgSz w:w="12240" w:h="15840"/>
          <w:pgMar w:top="893" w:right="979" w:bottom="893" w:left="979" w:header="360" w:footer="360" w:gutter="0"/>
          <w:cols w:space="720"/>
          <w:titlePg/>
          <w:docGrid w:linePitch="360"/>
        </w:sectPr>
      </w:pPr>
    </w:p>
    <w:p>
      <w:pPr>
        <w:keepNext/>
        <w:spacing w:after="60"/>
      </w:pPr>
      <w:r>
        <w:rPr>
          <w:rFonts w:ascii="Aptos" w:hAnsi="Aptos" w:eastAsia="Arial Unicode MS"/>
          <w:b/>
          <w:color w:val="159A85"/>
          <w:sz w:val="16"/>
        </w:rPr>
        <w:t>03 / THREE-LAYER ARCHITECTURE</w:t>
      </w:r>
    </w:p>
    <w:p>
      <w:pPr>
        <w:pStyle w:val="Heading1"/>
      </w:pPr>
      <w:r>
        <w:t>L2 — bounded process with independent Gates</w:t>
      </w:r>
    </w:p>
    <w:tbl>
      <w:tblPr>
        <w:tblStyle w:val="TableGrid"/>
        <w:tblW w:type="auto" w:w="0"/>
        <w:jc w:val="center"/>
        <w:tblLook w:firstColumn="1" w:firstRow="1" w:lastColumn="0" w:lastRow="0" w:noHBand="0" w:noVBand="1" w:val="04A0"/>
        <w:tblLayout w:type="fixed"/>
      </w:tblPr>
      <w:tblGrid>
        <w:gridCol w:w="4819"/>
        <w:gridCol w:w="4819"/>
        <w:gridCol w:w="4819"/>
      </w:tblGrid>
      <w:tr>
        <w:trPr>
          <w:tblHeader w:val="true"/>
          <w:cantSplit/>
        </w:trPr>
        <w:tc>
          <w:tcPr>
            <w:tcW w:type="dxa" w:w="4032"/>
            <w:shd w:fill="1F5A94"/>
            <w:tcMar>
              <w:top w:w="80" w:type="dxa"/>
              <w:start w:w="90" w:type="dxa"/>
              <w:bottom w:w="80" w:type="dxa"/>
              <w:end w:w="90" w:type="dxa"/>
            </w:tcMar>
            <w:vAlign w:val="center"/>
          </w:tcPr>
          <w:p>
            <w:pPr>
              <w:spacing w:after="0"/>
              <w:jc w:val="left"/>
            </w:pPr>
            <w:r/>
            <w:r>
              <w:rPr>
                <w:rFonts w:ascii="Aptos" w:hAnsi="Aptos" w:eastAsia="Arial Unicode MS"/>
                <w:b/>
                <w:color w:val="FFFFFF"/>
                <w:sz w:val="15"/>
              </w:rPr>
              <w:t>L2 node</w:t>
            </w:r>
          </w:p>
        </w:tc>
        <w:tc>
          <w:tcPr>
            <w:tcW w:type="dxa" w:w="6912"/>
            <w:shd w:fill="1F5A94"/>
            <w:tcMar>
              <w:top w:w="80" w:type="dxa"/>
              <w:start w:w="90" w:type="dxa"/>
              <w:bottom w:w="80" w:type="dxa"/>
              <w:end w:w="90" w:type="dxa"/>
            </w:tcMar>
            <w:vAlign w:val="center"/>
          </w:tcPr>
          <w:p>
            <w:pPr>
              <w:spacing w:after="0"/>
              <w:jc w:val="left"/>
            </w:pPr>
            <w:r/>
            <w:r>
              <w:rPr>
                <w:rFonts w:ascii="Aptos" w:hAnsi="Aptos" w:eastAsia="Arial Unicode MS"/>
                <w:b/>
                <w:color w:val="FFFFFF"/>
                <w:sz w:val="15"/>
              </w:rPr>
              <w:t>Purpose</w:t>
            </w:r>
          </w:p>
        </w:tc>
        <w:tc>
          <w:tcPr>
            <w:tcW w:type="dxa" w:w="3168"/>
            <w:shd w:fill="1F5A94"/>
            <w:tcMar>
              <w:top w:w="80" w:type="dxa"/>
              <w:start w:w="90" w:type="dxa"/>
              <w:bottom w:w="80" w:type="dxa"/>
              <w:end w:w="90" w:type="dxa"/>
            </w:tcMar>
            <w:vAlign w:val="center"/>
          </w:tcPr>
          <w:p>
            <w:pPr>
              <w:spacing w:after="0"/>
              <w:jc w:val="left"/>
            </w:pPr>
            <w:r/>
            <w:r>
              <w:rPr>
                <w:rFonts w:ascii="Aptos" w:hAnsi="Aptos" w:eastAsia="Arial Unicode MS"/>
                <w:b/>
                <w:color w:val="FFFFFF"/>
                <w:sz w:val="15"/>
              </w:rPr>
              <w:t>L1 parent</w:t>
            </w:r>
          </w:p>
        </w:tc>
      </w:tr>
      <w:tr>
        <w:trPr>
          <w:cantSplit/>
        </w:trPr>
        <w:tc>
          <w:tcPr>
            <w:tcW w:type="dxa" w:w="403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Project Start</w:t>
            </w:r>
          </w:p>
        </w:tc>
        <w:tc>
          <w:tcPr>
            <w:tcW w:type="dxa" w:w="691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Entry record and project identifier</w:t>
            </w:r>
          </w:p>
        </w:tc>
        <w:tc>
          <w:tcPr>
            <w:tcW w:type="dxa" w:w="3168"/>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L1 Initial Contact</w:t>
            </w:r>
          </w:p>
        </w:tc>
      </w:tr>
      <w:tr>
        <w:trPr>
          <w:cantSplit/>
        </w:trPr>
        <w:tc>
          <w:tcPr>
            <w:tcW w:type="dxa" w:w="40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Opportunity &amp; Qualification</w:t>
            </w:r>
          </w:p>
        </w:tc>
        <w:tc>
          <w:tcPr>
            <w:tcW w:type="dxa" w:w="69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Six-step Gate 1 evidence and routing workspace</w:t>
            </w:r>
          </w:p>
        </w:tc>
        <w:tc>
          <w:tcPr>
            <w:tcW w:type="dxa" w:w="316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L1 Opportunity</w:t>
            </w:r>
          </w:p>
        </w:tc>
      </w:tr>
      <w:tr>
        <w:trPr>
          <w:cantSplit/>
        </w:trPr>
        <w:tc>
          <w:tcPr>
            <w:tcW w:type="dxa" w:w="403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G1 — Qualified &amp; Commercially Engaged</w:t>
            </w:r>
          </w:p>
        </w:tc>
        <w:tc>
          <w:tcPr>
            <w:tcW w:type="dxa" w:w="691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Independent release point; no bypass</w:t>
            </w:r>
          </w:p>
        </w:tc>
        <w:tc>
          <w:tcPr>
            <w:tcW w:type="dxa" w:w="3168"/>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L1 G1</w:t>
            </w:r>
          </w:p>
        </w:tc>
      </w:tr>
      <w:tr>
        <w:trPr>
          <w:cantSplit/>
        </w:trPr>
        <w:tc>
          <w:tcPr>
            <w:tcW w:type="dxa" w:w="40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Commercial Pathway</w:t>
            </w:r>
          </w:p>
        </w:tc>
        <w:tc>
          <w:tcPr>
            <w:tcW w:type="dxa" w:w="69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Bounded CSA → Class D → PCS, governed LOI modifier</w:t>
            </w:r>
          </w:p>
        </w:tc>
        <w:tc>
          <w:tcPr>
            <w:tcW w:type="dxa" w:w="316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L1 Pre-Construction</w:t>
            </w:r>
          </w:p>
        </w:tc>
      </w:tr>
      <w:tr>
        <w:trPr>
          <w:cantSplit/>
        </w:trPr>
        <w:tc>
          <w:tcPr>
            <w:tcW w:type="dxa" w:w="403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Pre-Construction</w:t>
            </w:r>
          </w:p>
        </w:tc>
        <w:tc>
          <w:tcPr>
            <w:tcW w:type="dxa" w:w="691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Design, site, estimating, scope and responsibilities</w:t>
            </w:r>
          </w:p>
        </w:tc>
        <w:tc>
          <w:tcPr>
            <w:tcW w:type="dxa" w:w="3168"/>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L1 Pre-Construction</w:t>
            </w:r>
          </w:p>
        </w:tc>
      </w:tr>
      <w:tr>
        <w:trPr>
          <w:cantSplit/>
        </w:trPr>
        <w:tc>
          <w:tcPr>
            <w:tcW w:type="dxa" w:w="40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G2 — Project / Technical Commitment</w:t>
            </w:r>
          </w:p>
        </w:tc>
        <w:tc>
          <w:tcPr>
            <w:tcW w:type="dxa" w:w="69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Class C basis and project/technical commitment</w:t>
            </w:r>
          </w:p>
        </w:tc>
        <w:tc>
          <w:tcPr>
            <w:tcW w:type="dxa" w:w="316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L1 G2</w:t>
            </w:r>
          </w:p>
        </w:tc>
      </w:tr>
      <w:tr>
        <w:trPr>
          <w:cantSplit/>
        </w:trPr>
        <w:tc>
          <w:tcPr>
            <w:tcW w:type="dxa" w:w="403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Production Readiness</w:t>
            </w:r>
          </w:p>
        </w:tc>
        <w:tc>
          <w:tcPr>
            <w:tcW w:type="dxa" w:w="691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Drawings, PSO, materials, permit, payment, schedule and changes</w:t>
            </w:r>
          </w:p>
        </w:tc>
        <w:tc>
          <w:tcPr>
            <w:tcW w:type="dxa" w:w="3168"/>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L1 Production Readiness</w:t>
            </w:r>
          </w:p>
        </w:tc>
      </w:tr>
      <w:tr>
        <w:trPr>
          <w:cantSplit/>
        </w:trPr>
        <w:tc>
          <w:tcPr>
            <w:tcW w:type="dxa" w:w="40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G3 — Production Authorization</w:t>
            </w:r>
          </w:p>
        </w:tc>
        <w:tc>
          <w:tcPr>
            <w:tcW w:type="dxa" w:w="69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Controlled factory release</w:t>
            </w:r>
          </w:p>
        </w:tc>
        <w:tc>
          <w:tcPr>
            <w:tcW w:type="dxa" w:w="316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L1 G3</w:t>
            </w:r>
          </w:p>
        </w:tc>
      </w:tr>
      <w:tr>
        <w:trPr>
          <w:cantSplit/>
        </w:trPr>
        <w:tc>
          <w:tcPr>
            <w:tcW w:type="dxa" w:w="403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Factory Production</w:t>
            </w:r>
          </w:p>
        </w:tc>
        <w:tc>
          <w:tcPr>
            <w:tcW w:type="dxa" w:w="691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Production, QC, inspection and rework</w:t>
            </w:r>
          </w:p>
        </w:tc>
        <w:tc>
          <w:tcPr>
            <w:tcW w:type="dxa" w:w="3168"/>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L1 Factory Production</w:t>
            </w:r>
          </w:p>
        </w:tc>
      </w:tr>
      <w:tr>
        <w:trPr>
          <w:cantSplit/>
        </w:trPr>
        <w:tc>
          <w:tcPr>
            <w:tcW w:type="dxa" w:w="40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G4 — Factory Completion / Release</w:t>
            </w:r>
          </w:p>
        </w:tc>
        <w:tc>
          <w:tcPr>
            <w:tcW w:type="dxa" w:w="69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Completion evidence plus transport/site readiness</w:t>
            </w:r>
          </w:p>
        </w:tc>
        <w:tc>
          <w:tcPr>
            <w:tcW w:type="dxa" w:w="316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L1 G4</w:t>
            </w:r>
          </w:p>
        </w:tc>
      </w:tr>
      <w:tr>
        <w:trPr>
          <w:cantSplit/>
        </w:trPr>
        <w:tc>
          <w:tcPr>
            <w:tcW w:type="dxa" w:w="403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Delivery / Project Completion</w:t>
            </w:r>
          </w:p>
        </w:tc>
        <w:tc>
          <w:tcPr>
            <w:tcW w:type="dxa" w:w="691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Site, delivery, set, interfaces, deficiencies</w:t>
            </w:r>
          </w:p>
        </w:tc>
        <w:tc>
          <w:tcPr>
            <w:tcW w:type="dxa" w:w="3168"/>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L1 Delivery</w:t>
            </w:r>
          </w:p>
        </w:tc>
      </w:tr>
      <w:tr>
        <w:trPr>
          <w:cantSplit/>
        </w:trPr>
        <w:tc>
          <w:tcPr>
            <w:tcW w:type="dxa" w:w="40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G5 — Project Completion / Warranty Start</w:t>
            </w:r>
          </w:p>
        </w:tc>
        <w:tc>
          <w:tcPr>
            <w:tcW w:type="dxa" w:w="69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Acceptance, deficiency disposition and warranty basis</w:t>
            </w:r>
          </w:p>
        </w:tc>
        <w:tc>
          <w:tcPr>
            <w:tcW w:type="dxa" w:w="316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L1 G5</w:t>
            </w:r>
          </w:p>
        </w:tc>
      </w:tr>
      <w:tr>
        <w:trPr>
          <w:cantSplit/>
        </w:trPr>
        <w:tc>
          <w:tcPr>
            <w:tcW w:type="dxa" w:w="403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Commissioning &amp; Warranty</w:t>
            </w:r>
          </w:p>
        </w:tc>
        <w:tc>
          <w:tcPr>
            <w:tcW w:type="dxa" w:w="691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Startup, handover, claims and expiry tracking</w:t>
            </w:r>
          </w:p>
        </w:tc>
        <w:tc>
          <w:tcPr>
            <w:tcW w:type="dxa" w:w="3168"/>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L1 Commissioning &amp; Warranty</w:t>
            </w:r>
          </w:p>
        </w:tc>
      </w:tr>
      <w:tr>
        <w:trPr>
          <w:cantSplit/>
        </w:trPr>
        <w:tc>
          <w:tcPr>
            <w:tcW w:type="dxa" w:w="40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Final Close</w:t>
            </w:r>
          </w:p>
        </w:tc>
        <w:tc>
          <w:tcPr>
            <w:tcW w:type="dxa" w:w="69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Commercial and obligation reconciliation</w:t>
            </w:r>
          </w:p>
        </w:tc>
        <w:tc>
          <w:tcPr>
            <w:tcW w:type="dxa" w:w="316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L1 Final Close</w:t>
            </w:r>
          </w:p>
        </w:tc>
      </w:tr>
    </w:tbl>
    <w:p>
      <w:pPr>
        <w:spacing w:after="0"/>
        <w:jc w:val="center"/>
      </w:pPr>
      <w:r>
        <w:drawing>
          <wp:inline xmlns:a="http://schemas.openxmlformats.org/drawingml/2006/main" xmlns:pic="http://schemas.openxmlformats.org/drawingml/2006/picture">
            <wp:extent cx="8412480" cy="5520690"/>
            <wp:docPr id="4" name="Picture 4"/>
            <wp:cNvGraphicFramePr>
              <a:graphicFrameLocks noChangeAspect="1"/>
            </wp:cNvGraphicFramePr>
            <a:graphic>
              <a:graphicData uri="http://schemas.openxmlformats.org/drawingml/2006/picture">
                <pic:pic>
                  <pic:nvPicPr>
                    <pic:cNvPr id="0" name="02-l2-bounded-process.png"/>
                    <pic:cNvPicPr/>
                  </pic:nvPicPr>
                  <pic:blipFill>
                    <a:blip r:embed="rId16"/>
                    <a:stretch>
                      <a:fillRect/>
                    </a:stretch>
                  </pic:blipFill>
                  <pic:spPr>
                    <a:xfrm>
                      <a:off x="0" y="0"/>
                      <a:ext cx="8412480" cy="5520690"/>
                    </a:xfrm>
                    <a:prstGeom prst="rect"/>
                  </pic:spPr>
                </pic:pic>
              </a:graphicData>
            </a:graphic>
          </wp:inline>
        </w:drawing>
      </w:r>
    </w:p>
    <w:p>
      <w:pPr>
        <w:pStyle w:val="Caption"/>
        <w:jc w:val="center"/>
      </w:pPr>
      <w:r>
        <w:rPr>
          <w:rFonts w:ascii="Aptos" w:hAnsi="Aptos" w:eastAsia="Arial Unicode MS"/>
          <w:i/>
          <w:color w:val="5D6A7E"/>
          <w:sz w:val="16"/>
        </w:rPr>
        <w:t>Figure 4. Opportunity cannot bypass G1; the controlled commercial pathway begins only after release.</w:t>
      </w:r>
    </w:p>
    <w:p>
      <w:pPr>
        <w:sectPr>
          <w:pgSz w:w="15840" w:h="12240" w:orient="landscape"/>
          <w:pgMar w:top="648" w:right="691" w:bottom="691" w:left="691" w:header="360" w:footer="360" w:gutter="0"/>
          <w:cols w:space="720"/>
          <w:docGrid w:linePitch="360"/>
        </w:sectPr>
      </w:pPr>
    </w:p>
    <w:p>
      <w:pPr>
        <w:keepNext/>
        <w:spacing w:after="60"/>
      </w:pPr>
      <w:r>
        <w:rPr>
          <w:rFonts w:ascii="Aptos" w:hAnsi="Aptos" w:eastAsia="Arial Unicode MS"/>
          <w:b/>
          <w:color w:val="159A85"/>
          <w:sz w:val="16"/>
        </w:rPr>
        <w:t>03 / THREE-LAYER ARCHITECTURE</w:t>
      </w:r>
    </w:p>
    <w:p>
      <w:pPr>
        <w:pStyle w:val="Heading1"/>
      </w:pPr>
      <w:r>
        <w:t>L3 — controlled evidence, not a document dump</w:t>
      </w:r>
    </w:p>
    <w:p>
      <w:r>
        <w:rPr>
          <w:rFonts w:ascii="Aptos" w:hAnsi="Aptos" w:eastAsia="Arial Unicode MS"/>
          <w:i w:val="0"/>
          <w:color w:val="172033"/>
          <w:sz w:val="18"/>
        </w:rPr>
        <w:t>Every catalog form opens inside the L3 execution layer with a controlled identity, revision, language, applicability decision, lifecycle links, source reference and ten operational fields. Form values are not enough on their own: required signature, approval, task and status controls must also pass.</w:t>
      </w:r>
    </w:p>
    <w:tbl>
      <w:tblPr>
        <w:tblStyle w:val="TableGrid"/>
        <w:tblW w:type="auto" w:w="0"/>
        <w:jc w:val="center"/>
        <w:tblLook w:firstColumn="1" w:firstRow="1" w:lastColumn="0" w:lastRow="0" w:noHBand="0" w:noVBand="1" w:val="04A0"/>
        <w:tblLayout w:type="fixed"/>
      </w:tblPr>
      <w:tblGrid>
        <w:gridCol w:w="5141"/>
        <w:gridCol w:w="5141"/>
      </w:tblGrid>
      <w:tr>
        <w:trPr>
          <w:tblHeader w:val="true"/>
          <w:cantSplit/>
        </w:trPr>
        <w:tc>
          <w:tcPr>
            <w:tcW w:type="dxa" w:w="1800"/>
            <w:shd w:fill="159A85"/>
            <w:tcMar>
              <w:top w:w="80" w:type="dxa"/>
              <w:start w:w="90" w:type="dxa"/>
              <w:bottom w:w="80" w:type="dxa"/>
              <w:end w:w="90" w:type="dxa"/>
            </w:tcMar>
            <w:vAlign w:val="center"/>
          </w:tcPr>
          <w:p>
            <w:pPr>
              <w:spacing w:after="0"/>
              <w:jc w:val="left"/>
            </w:pPr>
            <w:r/>
            <w:r>
              <w:rPr>
                <w:rFonts w:ascii="Aptos" w:hAnsi="Aptos" w:eastAsia="Arial Unicode MS"/>
                <w:b/>
                <w:color w:val="FFFFFF"/>
                <w:sz w:val="16"/>
              </w:rPr>
              <w:t>Control</w:t>
            </w:r>
          </w:p>
        </w:tc>
        <w:tc>
          <w:tcPr>
            <w:tcW w:type="dxa" w:w="7920"/>
            <w:shd w:fill="159A85"/>
            <w:tcMar>
              <w:top w:w="80" w:type="dxa"/>
              <w:start w:w="90" w:type="dxa"/>
              <w:bottom w:w="80" w:type="dxa"/>
              <w:end w:w="90" w:type="dxa"/>
            </w:tcMar>
            <w:vAlign w:val="center"/>
          </w:tcPr>
          <w:p>
            <w:pPr>
              <w:spacing w:after="0"/>
              <w:jc w:val="left"/>
            </w:pPr>
            <w:r/>
            <w:r>
              <w:rPr>
                <w:rFonts w:ascii="Aptos" w:hAnsi="Aptos" w:eastAsia="Arial Unicode MS"/>
                <w:b/>
                <w:color w:val="FFFFFF"/>
                <w:sz w:val="16"/>
              </w:rPr>
              <w:t>Effective behavior</w:t>
            </w:r>
          </w:p>
        </w:tc>
      </w:tr>
      <w:tr>
        <w:trPr>
          <w:cantSplit/>
        </w:trPr>
        <w:tc>
          <w:tcPr>
            <w:tcW w:type="dxa" w:w="1800"/>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Applicability</w:t>
            </w:r>
          </w:p>
        </w:tc>
        <w:tc>
          <w:tcPr>
            <w:tcW w:type="dxa" w:w="7920"/>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Required is always applicable; Conditional/Triggered begin Pending; Optional/Supporting do not gate by default.</w:t>
            </w:r>
          </w:p>
        </w:tc>
      </w:tr>
      <w:tr>
        <w:trPr>
          <w:cantSplit/>
        </w:trPr>
        <w:tc>
          <w:tcPr>
            <w:tcW w:type="dxa" w:w="180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Required data</w:t>
            </w:r>
          </w:p>
        </w:tc>
        <w:tc>
          <w:tcPr>
            <w:tcW w:type="dxa" w:w="792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All required form fields must contain objective values before Complete/Passed becomes selectable.</w:t>
            </w:r>
          </w:p>
        </w:tc>
      </w:tr>
      <w:tr>
        <w:trPr>
          <w:cantSplit/>
        </w:trPr>
        <w:tc>
          <w:tcPr>
            <w:tcW w:type="dxa" w:w="1800"/>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N/A</w:t>
            </w:r>
          </w:p>
        </w:tc>
        <w:tc>
          <w:tcPr>
            <w:tcW w:type="dxa" w:w="7920"/>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Not Applicable requires an objective reason; blank or whitespace evidence remains incomplete.</w:t>
            </w:r>
          </w:p>
        </w:tc>
      </w:tr>
      <w:tr>
        <w:trPr>
          <w:cantSplit/>
        </w:trPr>
        <w:tc>
          <w:tcPr>
            <w:tcW w:type="dxa" w:w="180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Signature</w:t>
            </w:r>
          </w:p>
        </w:tc>
        <w:tc>
          <w:tcPr>
            <w:tcW w:type="dxa" w:w="792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Signed is mandatory where configured; Partially Signed is not complete; Rejected is blocked.</w:t>
            </w:r>
          </w:p>
        </w:tc>
      </w:tr>
      <w:tr>
        <w:trPr>
          <w:cantSplit/>
        </w:trPr>
        <w:tc>
          <w:tcPr>
            <w:tcW w:type="dxa" w:w="1800"/>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Approval</w:t>
            </w:r>
          </w:p>
        </w:tc>
        <w:tc>
          <w:tcPr>
            <w:tcW w:type="dxa" w:w="7920"/>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Approved is mandatory where configured; Rejected is blocked.</w:t>
            </w:r>
          </w:p>
        </w:tc>
      </w:tr>
      <w:tr>
        <w:trPr>
          <w:cantSplit/>
        </w:trPr>
        <w:tc>
          <w:tcPr>
            <w:tcW w:type="dxa" w:w="180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Protection</w:t>
            </w:r>
          </w:p>
        </w:tc>
        <w:tc>
          <w:tcPr>
            <w:tcW w:type="dxa" w:w="792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Catalog forms and Gate controls cannot be deleted; Clear L3 only removes custom items.</w:t>
            </w:r>
          </w:p>
        </w:tc>
      </w:tr>
      <w:tr>
        <w:trPr>
          <w:cantSplit/>
        </w:trPr>
        <w:tc>
          <w:tcPr>
            <w:tcW w:type="dxa" w:w="1800"/>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Roll-up</w:t>
            </w:r>
          </w:p>
        </w:tc>
        <w:tc>
          <w:tcPr>
            <w:tcW w:type="dxa" w:w="7920"/>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Only effective L3 progress counts in the L2 status summary.</w:t>
            </w:r>
          </w:p>
        </w:tc>
      </w:tr>
    </w:tbl>
    <w:p>
      <w:pPr>
        <w:spacing w:after="0"/>
        <w:jc w:val="center"/>
      </w:pPr>
      <w:r>
        <w:drawing>
          <wp:inline xmlns:a="http://schemas.openxmlformats.org/drawingml/2006/main" xmlns:pic="http://schemas.openxmlformats.org/drawingml/2006/picture">
            <wp:extent cx="6172200" cy="4373582"/>
            <wp:docPr id="5" name="Picture 5"/>
            <wp:cNvGraphicFramePr>
              <a:graphicFrameLocks noChangeAspect="1"/>
            </wp:cNvGraphicFramePr>
            <a:graphic>
              <a:graphicData uri="http://schemas.openxmlformats.org/drawingml/2006/picture">
                <pic:pic>
                  <pic:nvPicPr>
                    <pic:cNvPr id="0" name="03-l3-controlled-cec-form.png"/>
                    <pic:cNvPicPr/>
                  </pic:nvPicPr>
                  <pic:blipFill>
                    <a:blip r:embed="rId17"/>
                    <a:stretch>
                      <a:fillRect/>
                    </a:stretch>
                  </pic:blipFill>
                  <pic:spPr>
                    <a:xfrm>
                      <a:off x="0" y="0"/>
                      <a:ext cx="6172200" cy="4373582"/>
                    </a:xfrm>
                    <a:prstGeom prst="rect"/>
                  </pic:spPr>
                </pic:pic>
              </a:graphicData>
            </a:graphic>
          </wp:inline>
        </w:drawing>
      </w:r>
    </w:p>
    <w:p>
      <w:pPr>
        <w:pStyle w:val="Caption"/>
        <w:jc w:val="center"/>
      </w:pPr>
      <w:r>
        <w:rPr>
          <w:rFonts w:ascii="Aptos" w:hAnsi="Aptos" w:eastAsia="Arial Unicode MS"/>
          <w:i/>
          <w:color w:val="5D6A7E"/>
          <w:sz w:val="16"/>
        </w:rPr>
        <w:t>Figure 5. A live CEC form shows revision, language, lifecycle links, required fields and blocking status.</w:t>
      </w:r>
    </w:p>
    <w:p>
      <w:pPr>
        <w:sectPr>
          <w:pgSz w:w="12240" w:h="15840"/>
          <w:pgMar w:top="893" w:right="979" w:bottom="893" w:left="979" w:header="360" w:footer="360" w:gutter="0"/>
          <w:cols w:space="720"/>
          <w:docGrid w:linePitch="360"/>
        </w:sectPr>
      </w:pPr>
    </w:p>
    <w:p>
      <w:pPr>
        <w:keepNext/>
        <w:spacing w:after="60"/>
      </w:pPr>
      <w:r>
        <w:rPr>
          <w:rFonts w:ascii="Aptos" w:hAnsi="Aptos" w:eastAsia="Arial Unicode MS"/>
          <w:b/>
          <w:color w:val="159A85"/>
          <w:sz w:val="16"/>
        </w:rPr>
        <w:t>04 / REQUIREMENT TRACEABILITY</w:t>
      </w:r>
    </w:p>
    <w:p>
      <w:pPr>
        <w:pStyle w:val="Heading1"/>
      </w:pPr>
      <w:r>
        <w:t>JF source wording → implemented node/control</w:t>
      </w:r>
    </w:p>
    <w:p>
      <w:r>
        <w:rPr>
          <w:rFonts w:ascii="Aptos" w:hAnsi="Aptos" w:eastAsia="Arial Unicode MS"/>
          <w:i w:val="0"/>
          <w:color w:val="172033"/>
          <w:sz w:val="17"/>
        </w:rPr>
        <w:t>The left column preserves the Master Requirements summary wording. The right column identifies the corresponding live node/control and its verification evidence.</w:t>
      </w:r>
    </w:p>
    <w:tbl>
      <w:tblPr>
        <w:tblStyle w:val="TableGrid"/>
        <w:tblW w:type="auto" w:w="0"/>
        <w:jc w:val="center"/>
        <w:tblLook w:firstColumn="1" w:firstRow="1" w:lastColumn="0" w:lastRow="0" w:noHBand="0" w:noVBand="1" w:val="04A0"/>
        <w:tblLayout w:type="fixed"/>
      </w:tblPr>
      <w:tblGrid>
        <w:gridCol w:w="7229"/>
        <w:gridCol w:w="7229"/>
      </w:tblGrid>
      <w:tr>
        <w:trPr>
          <w:tblHeader w:val="true"/>
          <w:cantSplit/>
        </w:trPr>
        <w:tc>
          <w:tcPr>
            <w:tcW w:type="dxa" w:w="7056"/>
            <w:shd w:fill="0B1F33"/>
            <w:tcMar>
              <w:top w:w="80" w:type="dxa"/>
              <w:start w:w="90" w:type="dxa"/>
              <w:bottom w:w="80" w:type="dxa"/>
              <w:end w:w="90" w:type="dxa"/>
            </w:tcMar>
            <w:vAlign w:val="center"/>
          </w:tcPr>
          <w:p>
            <w:pPr>
              <w:spacing w:after="0"/>
              <w:jc w:val="left"/>
            </w:pPr>
            <w:r/>
            <w:r>
              <w:rPr>
                <w:rFonts w:ascii="Aptos" w:hAnsi="Aptos" w:eastAsia="Arial Unicode MS"/>
                <w:b/>
                <w:color w:val="FFFFFF"/>
                <w:sz w:val="14"/>
              </w:rPr>
              <w:t>JF source wording (verbatim from Master Requirements summary)</w:t>
            </w:r>
          </w:p>
        </w:tc>
        <w:tc>
          <w:tcPr>
            <w:tcW w:type="dxa" w:w="7200"/>
            <w:shd w:fill="0B1F33"/>
            <w:tcMar>
              <w:top w:w="80" w:type="dxa"/>
              <w:start w:w="90" w:type="dxa"/>
              <w:bottom w:w="80" w:type="dxa"/>
              <w:end w:w="90" w:type="dxa"/>
            </w:tcMar>
            <w:vAlign w:val="center"/>
          </w:tcPr>
          <w:p>
            <w:pPr>
              <w:spacing w:after="0"/>
              <w:jc w:val="left"/>
            </w:pPr>
            <w:r/>
            <w:r>
              <w:rPr>
                <w:rFonts w:ascii="Aptos" w:hAnsi="Aptos" w:eastAsia="Arial Unicode MS"/>
                <w:b/>
                <w:color w:val="FFFFFF"/>
                <w:sz w:val="14"/>
              </w:rPr>
              <w:t>Implemented node(s), control and evidence</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§3 · Master summary</w:t>
            </w:r>
          </w:p>
          <w:p>
            <w:pPr>
              <w:spacing w:after="0" w:line="245" w:lineRule="auto"/>
            </w:pPr>
            <w:r>
              <w:drawing>
                <wp:inline xmlns:a="http://schemas.openxmlformats.org/drawingml/2006/main" xmlns:pic="http://schemas.openxmlformats.org/drawingml/2006/picture">
                  <wp:extent cx="4224528" cy="232655"/>
                  <wp:docPr id="6" name="Picture 6" descr="Process before Forms — 先把 end-to-end process 定义清楚，再决定 Forms 放哪、谁签、什么时候签、怎么 version。" title="JF source wording"/>
                  <wp:cNvGraphicFramePr>
                    <a:graphicFrameLocks noChangeAspect="1"/>
                  </wp:cNvGraphicFramePr>
                  <a:graphic>
                    <a:graphicData uri="http://schemas.openxmlformats.org/drawingml/2006/picture">
                      <pic:pic>
                        <pic:nvPicPr>
                          <pic:cNvPr id="0" name="requirement-01-dfbedb167312.png"/>
                          <pic:cNvPicPr/>
                        </pic:nvPicPr>
                        <pic:blipFill>
                          <a:blip r:embed="rId18"/>
                          <a:stretch>
                            <a:fillRect/>
                          </a:stretch>
                        </pic:blipFill>
                        <pic:spPr>
                          <a:xfrm>
                            <a:off x="0" y="0"/>
                            <a:ext cx="4224528" cy="232655"/>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System architecture: L1 defines the whole lifecycle; L2 defines process and Gates; L3 owns forms, signatures, approvals and versions. Evidence: Figs. 1–4.</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§3 · Master summary</w:t>
            </w:r>
          </w:p>
          <w:p>
            <w:pPr>
              <w:spacing w:after="0" w:line="245" w:lineRule="auto"/>
            </w:pPr>
            <w:r>
              <w:drawing>
                <wp:inline xmlns:a="http://schemas.openxmlformats.org/drawingml/2006/main" xmlns:pic="http://schemas.openxmlformats.org/drawingml/2006/picture">
                  <wp:extent cx="4224528" cy="232655"/>
                  <wp:docPr id="7" name="Picture 7" descr="Main Gates + Secondary Controls — Primary Gates 少而清楚；复杂 Technical / Commercial / Payment / Design controls 放到下面。" title="JF source wording"/>
                  <wp:cNvGraphicFramePr>
                    <a:graphicFrameLocks noChangeAspect="1"/>
                  </wp:cNvGraphicFramePr>
                  <a:graphic>
                    <a:graphicData uri="http://schemas.openxmlformats.org/drawingml/2006/picture">
                      <pic:pic>
                        <pic:nvPicPr>
                          <pic:cNvPr id="0" name="requirement-02-dffebea7af10.png"/>
                          <pic:cNvPicPr/>
                        </pic:nvPicPr>
                        <pic:blipFill>
                          <a:blip r:embed="rId19"/>
                          <a:stretch>
                            <a:fillRect/>
                          </a:stretch>
                        </pic:blipFill>
                        <pic:spPr>
                          <a:xfrm>
                            <a:off x="0" y="0"/>
                            <a:ext cx="4224528" cy="232655"/>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L1 contains exactly five primary Gates. Technical, commercial, payment, design and release conditions stay in L2/L3. Evidence: Figs. 1–3.</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§3 · Master summary</w:t>
            </w:r>
          </w:p>
          <w:p>
            <w:pPr>
              <w:spacing w:after="0" w:line="245" w:lineRule="auto"/>
            </w:pPr>
            <w:r>
              <w:drawing>
                <wp:inline xmlns:a="http://schemas.openxmlformats.org/drawingml/2006/main" xmlns:pic="http://schemas.openxmlformats.org/drawingml/2006/picture">
                  <wp:extent cx="4224528" cy="125510"/>
                  <wp:docPr id="8" name="Picture 8" descr="Gate ≠ Document — Gate 是 decision / control point，不是某一份表格的代名词。" title="JF source wording"/>
                  <wp:cNvGraphicFramePr>
                    <a:graphicFrameLocks noChangeAspect="1"/>
                  </wp:cNvGraphicFramePr>
                  <a:graphic>
                    <a:graphicData uri="http://schemas.openxmlformats.org/drawingml/2006/picture">
                      <pic:pic>
                        <pic:nvPicPr>
                          <pic:cNvPr id="0" name="requirement-03-4f43c86ca507.png"/>
                          <pic:cNvPicPr/>
                        </pic:nvPicPr>
                        <pic:blipFill>
                          <a:blip r:embed="rId20"/>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Five Gate nodes are independent L2 release points. Forms supply evidence but no form is used as the Gate itself.</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§3 · Master summary</w:t>
            </w:r>
          </w:p>
          <w:p>
            <w:pPr>
              <w:spacing w:after="0" w:line="245" w:lineRule="auto"/>
            </w:pPr>
            <w:r>
              <w:drawing>
                <wp:inline xmlns:a="http://schemas.openxmlformats.org/drawingml/2006/main" xmlns:pic="http://schemas.openxmlformats.org/drawingml/2006/picture">
                  <wp:extent cx="4224528" cy="232655"/>
                  <wp:docPr id="9" name="Picture 9" descr="Dynamic but Bounded — 不同客户可以走不同 path，但 variations 必须被限制在有限 acceptable patterns，不能 spaghetti。" title="JF source wording"/>
                  <wp:cNvGraphicFramePr>
                    <a:graphicFrameLocks noChangeAspect="1"/>
                  </wp:cNvGraphicFramePr>
                  <a:graphic>
                    <a:graphicData uri="http://schemas.openxmlformats.org/drawingml/2006/picture">
                      <pic:pic>
                        <pic:nvPicPr>
                          <pic:cNvPr id="0" name="requirement-04-4f26b408fd07.png"/>
                          <pic:cNvPicPr/>
                        </pic:nvPicPr>
                        <pic:blipFill>
                          <a:blip r:embed="rId21"/>
                          <a:stretch>
                            <a:fillRect/>
                          </a:stretch>
                        </pic:blipFill>
                        <pic:spPr>
                          <a:xfrm>
                            <a:off x="0" y="0"/>
                            <a:ext cx="4224528" cy="232655"/>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Commercial Pathway limits early routing to CSA, Class D, PCS, governed LOI, Hold or No-Go; direct Opportunity → Commercial bypass is removed. Evidence: Fig. 3.</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§3 · Master summary</w:t>
            </w:r>
          </w:p>
          <w:p>
            <w:pPr>
              <w:spacing w:after="0" w:line="245" w:lineRule="auto"/>
            </w:pPr>
            <w:r>
              <w:drawing>
                <wp:inline xmlns:a="http://schemas.openxmlformats.org/drawingml/2006/main" xmlns:pic="http://schemas.openxmlformats.org/drawingml/2006/picture">
                  <wp:extent cx="4224528" cy="232655"/>
                  <wp:docPr id="10" name="Picture 10" descr="Evidence, not Feelings — Sales 的“感觉客户靠谱”不够；要转成 Name / Role / Authority / Budget / Site / Design / Consultant 等可验证事实。" title="JF source wording"/>
                  <wp:cNvGraphicFramePr>
                    <a:graphicFrameLocks noChangeAspect="1"/>
                  </wp:cNvGraphicFramePr>
                  <a:graphic>
                    <a:graphicData uri="http://schemas.openxmlformats.org/drawingml/2006/picture">
                      <pic:pic>
                        <pic:nvPicPr>
                          <pic:cNvPr id="0" name="requirement-05-9194a0f14ffe.png"/>
                          <pic:cNvPicPr/>
                        </pic:nvPicPr>
                        <pic:blipFill>
                          <a:blip r:embed="rId22"/>
                          <a:stretch>
                            <a:fillRect/>
                          </a:stretch>
                        </pic:blipFill>
                        <pic:spPr>
                          <a:xfrm>
                            <a:off x="0" y="0"/>
                            <a:ext cx="4224528" cy="232655"/>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Gate 1 collects named authority, role, approval path, scale, site, design, budget, funding and team evidence. Missing authority evidence is a hard Hold. Evidence: Fig. 5.</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§3 · Master summary</w:t>
            </w:r>
          </w:p>
          <w:p>
            <w:pPr>
              <w:spacing w:after="0" w:line="245" w:lineRule="auto"/>
            </w:pPr>
            <w:r>
              <w:drawing>
                <wp:inline xmlns:a="http://schemas.openxmlformats.org/drawingml/2006/main" xmlns:pic="http://schemas.openxmlformats.org/drawingml/2006/picture">
                  <wp:extent cx="4224528" cy="232655"/>
                  <wp:docPr id="11" name="Picture 11" descr="Whole Project, not Module Only — 即使 Civil/Foundation/Site/Commissioning 不是 ProFab scope，也必须在 overall process 中被追踪。" title="JF source wording"/>
                  <wp:cNvGraphicFramePr>
                    <a:graphicFrameLocks noChangeAspect="1"/>
                  </wp:cNvGraphicFramePr>
                  <a:graphic>
                    <a:graphicData uri="http://schemas.openxmlformats.org/drawingml/2006/picture">
                      <pic:pic>
                        <pic:nvPicPr>
                          <pic:cNvPr id="0" name="requirement-06-4649311419bd.png"/>
                          <pic:cNvPicPr/>
                        </pic:nvPicPr>
                        <pic:blipFill>
                          <a:blip r:embed="rId23"/>
                          <a:stretch>
                            <a:fillRect/>
                          </a:stretch>
                        </pic:blipFill>
                        <pic:spPr>
                          <a:xfrm>
                            <a:off x="0" y="0"/>
                            <a:ext cx="4224528" cy="232655"/>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L1/L2 include site, delivery, commissioning, warranty and Final Close; the 18-row Responsibility Matrix tracks civil/foundation/site interfaces.</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§3 · Master summary</w:t>
            </w:r>
          </w:p>
          <w:p>
            <w:pPr>
              <w:spacing w:after="0" w:line="245" w:lineRule="auto"/>
            </w:pPr>
            <w:r>
              <w:drawing>
                <wp:inline xmlns:a="http://schemas.openxmlformats.org/drawingml/2006/main" xmlns:pic="http://schemas.openxmlformats.org/drawingml/2006/picture">
                  <wp:extent cx="4224528" cy="125510"/>
                  <wp:docPr id="12" name="Picture 12" descr="Simple Input, Useful Output — 员工输入要简单；系统输出要能回答 management 真正关心的问题。" title="JF source wording"/>
                  <wp:cNvGraphicFramePr>
                    <a:graphicFrameLocks noChangeAspect="1"/>
                  </wp:cNvGraphicFramePr>
                  <a:graphic>
                    <a:graphicData uri="http://schemas.openxmlformats.org/drawingml/2006/picture">
                      <pic:pic>
                        <pic:nvPicPr>
                          <pic:cNvPr id="0" name="requirement-07-41d0f4002655.png"/>
                          <pic:cNvPicPr/>
                        </pic:nvPicPr>
                        <pic:blipFill>
                          <a:blip r:embed="rId24"/>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Progressive L1 → L2 → L3 disclosure; status summaries roll from L3 to L2. Gate 1 explains route, Hold reason, risks and next action.</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§3 · Master summary</w:t>
            </w:r>
          </w:p>
          <w:p>
            <w:pPr>
              <w:spacing w:after="0" w:line="245" w:lineRule="auto"/>
            </w:pPr>
            <w:r>
              <w:drawing>
                <wp:inline xmlns:a="http://schemas.openxmlformats.org/drawingml/2006/main" xmlns:pic="http://schemas.openxmlformats.org/drawingml/2006/picture">
                  <wp:extent cx="4224528" cy="232655"/>
                  <wp:docPr id="13" name="Picture 13" descr="Controlled Master — Forms、语言版本、Terms、编号、模板必须受控，避免 Sales / English / French 版本漂移。" title="JF source wording"/>
                  <wp:cNvGraphicFramePr>
                    <a:graphicFrameLocks noChangeAspect="1"/>
                  </wp:cNvGraphicFramePr>
                  <a:graphic>
                    <a:graphicData uri="http://schemas.openxmlformats.org/drawingml/2006/picture">
                      <pic:pic>
                        <pic:nvPicPr>
                          <pic:cNvPr id="0" name="requirement-08-66f4f13913f0.png"/>
                          <pic:cNvPicPr/>
                        </pic:nvPicPr>
                        <pic:blipFill>
                          <a:blip r:embed="rId25"/>
                          <a:stretch>
                            <a:fillRect/>
                          </a:stretch>
                        </pic:blipFill>
                        <pic:spPr>
                          <a:xfrm>
                            <a:off x="0" y="0"/>
                            <a:ext cx="4224528" cy="232655"/>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Every catalog form has a locked index/code/title, controlled revision and language. Matrix/source QA exposes discrepancies. Evidence: Figs. 4 and 6.</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§3 · Master summary</w:t>
            </w:r>
          </w:p>
          <w:p>
            <w:pPr>
              <w:spacing w:after="0" w:line="245" w:lineRule="auto"/>
            </w:pPr>
            <w:r>
              <w:drawing>
                <wp:inline xmlns:a="http://schemas.openxmlformats.org/drawingml/2006/main" xmlns:pic="http://schemas.openxmlformats.org/drawingml/2006/picture">
                  <wp:extent cx="4224528" cy="232655"/>
                  <wp:docPr id="14" name="Picture 14" descr="Break the System Before Launch — 主动找 loophole、绕过路径和冲突点，正式上线前先尝试把流程“弄坏”。" title="JF source wording"/>
                  <wp:cNvGraphicFramePr>
                    <a:graphicFrameLocks noChangeAspect="1"/>
                  </wp:cNvGraphicFramePr>
                  <a:graphic>
                    <a:graphicData uri="http://schemas.openxmlformats.org/drawingml/2006/picture">
                      <pic:pic>
                        <pic:nvPicPr>
                          <pic:cNvPr id="0" name="requirement-09-ba24a79897b0.png"/>
                          <pic:cNvPicPr/>
                        </pic:nvPicPr>
                        <pic:blipFill>
                          <a:blip r:embed="rId26"/>
                          <a:stretch>
                            <a:fillRect/>
                          </a:stretch>
                        </pic:blipFill>
                        <pic:spPr>
                          <a:xfrm>
                            <a:off x="0" y="0"/>
                            <a:ext cx="4224528" cy="232655"/>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63 rule tests, 9 interaction tests and 7 responsive/accessibility tests exercise hard stops, route abuse, form bypasses and UI regressions.</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§4 · Master summary</w:t>
            </w:r>
          </w:p>
          <w:p>
            <w:pPr>
              <w:spacing w:after="0" w:line="245" w:lineRule="auto"/>
            </w:pPr>
            <w:r>
              <w:drawing>
                <wp:inline xmlns:a="http://schemas.openxmlformats.org/drawingml/2006/main" xmlns:pic="http://schemas.openxmlformats.org/drawingml/2006/picture">
                  <wp:extent cx="4224528" cy="232655"/>
                  <wp:docPr id="15" name="Picture 15" descr="[明确要求] High-Level 必须从 Initial Contact 一直看到 End of Warranty / Final Close；必须是完整 project，而不是只画 module production。High-Level 要简单、visual、让新人 / Sales / Management 都能一眼理解。" title="JF source wording"/>
                  <wp:cNvGraphicFramePr>
                    <a:graphicFrameLocks noChangeAspect="1"/>
                  </wp:cNvGraphicFramePr>
                  <a:graphic>
                    <a:graphicData uri="http://schemas.openxmlformats.org/drawingml/2006/picture">
                      <pic:pic>
                        <pic:nvPicPr>
                          <pic:cNvPr id="0" name="requirement-10-f3d669484bd3.png"/>
                          <pic:cNvPicPr/>
                        </pic:nvPicPr>
                        <pic:blipFill>
                          <a:blip r:embed="rId27"/>
                          <a:stretch>
                            <a:fillRect/>
                          </a:stretch>
                        </pic:blipFill>
                        <pic:spPr>
                          <a:xfrm>
                            <a:off x="0" y="0"/>
                            <a:ext cx="4224528" cy="232655"/>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L1 is the exact 13-node Initial Contact → Final Close view with five highlighted primary Gates. Evidence: Figs. 1–2.</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§4 · Master summary</w:t>
            </w:r>
          </w:p>
          <w:p>
            <w:pPr>
              <w:spacing w:after="0" w:line="245" w:lineRule="auto"/>
            </w:pPr>
            <w:r>
              <w:drawing>
                <wp:inline xmlns:a="http://schemas.openxmlformats.org/drawingml/2006/main" xmlns:pic="http://schemas.openxmlformats.org/drawingml/2006/picture">
                  <wp:extent cx="4224528" cy="232655"/>
                  <wp:docPr id="16" name="Picture 16" descr="[明确要求] Primary Gates 要少；详细 Design Approval、Sales Agreement、Shop Drawing Start、Procurement Release、Payment Milestones 等不能全部升级成 L1 Primary Gate。" title="JF source wording"/>
                  <wp:cNvGraphicFramePr>
                    <a:graphicFrameLocks noChangeAspect="1"/>
                  </wp:cNvGraphicFramePr>
                  <a:graphic>
                    <a:graphicData uri="http://schemas.openxmlformats.org/drawingml/2006/picture">
                      <pic:pic>
                        <pic:nvPicPr>
                          <pic:cNvPr id="0" name="requirement-11-34ca920c2861.png"/>
                          <pic:cNvPicPr/>
                        </pic:nvPicPr>
                        <pic:blipFill>
                          <a:blip r:embed="rId28"/>
                          <a:stretch>
                            <a:fillRect/>
                          </a:stretch>
                        </pic:blipFill>
                        <pic:spPr>
                          <a:xfrm>
                            <a:off x="0" y="0"/>
                            <a:ext cx="4224528" cy="232655"/>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Only G1–G5 are primary Gates. PDAF, SA, PSO, payment and procurement controls remain linked L3 records/conditions.</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§5 · Master summary</w:t>
            </w:r>
          </w:p>
          <w:p>
            <w:pPr>
              <w:spacing w:after="0" w:line="245" w:lineRule="auto"/>
            </w:pPr>
            <w:r>
              <w:drawing>
                <wp:inline xmlns:a="http://schemas.openxmlformats.org/drawingml/2006/main" xmlns:pic="http://schemas.openxmlformats.org/drawingml/2006/picture">
                  <wp:extent cx="4224528" cy="125510"/>
                  <wp:docPr id="17" name="Picture 17" descr="Primary Gate 应回答“项目能不能继续 / 谁可以 release / 什么状态发生改变”。" title="JF source wording"/>
                  <wp:cNvGraphicFramePr>
                    <a:graphicFrameLocks noChangeAspect="1"/>
                  </wp:cNvGraphicFramePr>
                  <a:graphic>
                    <a:graphicData uri="http://schemas.openxmlformats.org/drawingml/2006/picture">
                      <pic:pic>
                        <pic:nvPicPr>
                          <pic:cNvPr id="0" name="requirement-12-ddd3ba6c4c44.png"/>
                          <pic:cNvPicPr/>
                        </pic:nvPicPr>
                        <pic:blipFill>
                          <a:blip r:embed="rId29"/>
                          <a:stretch>
                            <a:fillRect/>
                          </a:stretch>
                        </pic:blipFill>
                        <pic:spPr>
                          <a:xfrm>
                            <a:off x="0" y="0"/>
                            <a:ext cx="4224528" cy="125510"/>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Each Gate has release conditions, an approval execution item, responsible authority and GO/HOLD status aggregation.</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§5 · Master summary</w:t>
            </w:r>
          </w:p>
          <w:p>
            <w:pPr>
              <w:spacing w:after="0" w:line="245" w:lineRule="auto"/>
            </w:pPr>
            <w:r>
              <w:drawing>
                <wp:inline xmlns:a="http://schemas.openxmlformats.org/drawingml/2006/main" xmlns:pic="http://schemas.openxmlformats.org/drawingml/2006/picture">
                  <wp:extent cx="4224528" cy="125510"/>
                  <wp:docPr id="18" name="Picture 18" descr="Documents 可以跨多个 Gate 重复出现，只要它还 active、会 update 或 later trigger。" title="JF source wording"/>
                  <wp:cNvGraphicFramePr>
                    <a:graphicFrameLocks noChangeAspect="1"/>
                  </wp:cNvGraphicFramePr>
                  <a:graphic>
                    <a:graphicData uri="http://schemas.openxmlformats.org/drawingml/2006/picture">
                      <pic:pic>
                        <pic:nvPicPr>
                          <pic:cNvPr id="0" name="requirement-13-92a74e4bd030.png"/>
                          <pic:cNvPicPr/>
                        </pic:nvPicPr>
                        <pic:blipFill>
                          <a:blip r:embed="rId30"/>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Each form has lifecycle touchpoints; CEC, SOW, RM, changes, incidents and warranty records link across multiple L2 stages.</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§6 · Master summary</w:t>
            </w:r>
          </w:p>
          <w:p>
            <w:pPr>
              <w:spacing w:after="0" w:line="245" w:lineRule="auto"/>
            </w:pPr>
            <w:r>
              <w:drawing>
                <wp:inline xmlns:a="http://schemas.openxmlformats.org/drawingml/2006/main" xmlns:pic="http://schemas.openxmlformats.org/drawingml/2006/picture">
                  <wp:extent cx="4224528" cy="232655"/>
                  <wp:docPr id="19" name="Picture 19" descr="[明确要求] Gate 1 的工作不是简单“打分过线”，而是先定义 acceptable client / owner、收集客观 Evidence、识别 fundamental blocker，并知道这个客户接下来应该走哪条 path。" title="JF source wording"/>
                  <wp:cNvGraphicFramePr>
                    <a:graphicFrameLocks noChangeAspect="1"/>
                  </wp:cNvGraphicFramePr>
                  <a:graphic>
                    <a:graphicData uri="http://schemas.openxmlformats.org/drawingml/2006/picture">
                      <pic:pic>
                        <pic:nvPicPr>
                          <pic:cNvPr id="0" name="requirement-14-d4aadcb78304.png"/>
                          <pic:cNvPicPr/>
                        </pic:nvPicPr>
                        <pic:blipFill>
                          <a:blip r:embed="rId31"/>
                          <a:stretch>
                            <a:fillRect/>
                          </a:stretch>
                        </pic:blipFill>
                        <pic:spPr>
                          <a:xfrm>
                            <a:off x="0" y="0"/>
                            <a:ext cx="4224528" cy="232655"/>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Opportunity &amp; Qualification implements six ordered steps: evidence, hard blockers, plan qualification, route, LOI governance, Gate dossier. Score cannot release a hard stop.</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§6 · Master summary</w:t>
            </w:r>
          </w:p>
          <w:p>
            <w:pPr>
              <w:spacing w:after="0" w:line="245" w:lineRule="auto"/>
            </w:pPr>
            <w:r>
              <w:drawing>
                <wp:inline xmlns:a="http://schemas.openxmlformats.org/drawingml/2006/main" xmlns:pic="http://schemas.openxmlformats.org/drawingml/2006/picture">
                  <wp:extent cx="4224528" cy="232655"/>
                  <wp:docPr id="20" name="Picture 20" descr="[明确要求] 通过 Gate 1 后，系统至少应该知道：这个 Client / Owner 是谁、谁能决定、Project 基本是什么、Site / Design / Budget / Funding / Consultants 到什么程度，以及下一步 Route 是什么。" title="JF source wording"/>
                  <wp:cNvGraphicFramePr>
                    <a:graphicFrameLocks noChangeAspect="1"/>
                  </wp:cNvGraphicFramePr>
                  <a:graphic>
                    <a:graphicData uri="http://schemas.openxmlformats.org/drawingml/2006/picture">
                      <pic:pic>
                        <pic:nvPicPr>
                          <pic:cNvPr id="0" name="requirement-15-3aabc5b82bfa.png"/>
                          <pic:cNvPicPr/>
                        </pic:nvPicPr>
                        <pic:blipFill>
                          <a:blip r:embed="rId32"/>
                          <a:stretch>
                            <a:fillRect/>
                          </a:stretch>
                        </pic:blipFill>
                        <pic:spPr>
                          <a:xfrm>
                            <a:off x="0" y="0"/>
                            <a:ext cx="4224528" cy="232655"/>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G1 handoff requires identity, full authority evidence, storeys + GFA, site, design and assigned/executed eligible route; other facts remain visible as actions/risks.</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§6.1 · Master summary</w:t>
            </w:r>
          </w:p>
          <w:p>
            <w:pPr>
              <w:spacing w:after="0" w:line="245" w:lineRule="auto"/>
            </w:pPr>
            <w:r>
              <w:drawing>
                <wp:inline xmlns:a="http://schemas.openxmlformats.org/drawingml/2006/main" xmlns:pic="http://schemas.openxmlformats.org/drawingml/2006/picture">
                  <wp:extent cx="4224528" cy="125510"/>
                  <wp:docPr id="21" name="Picture 21" descr="Number of Storeys + Approx. GFA 是 Class D 最关键的早期规模输入；Module Count 早期可以 optional。" title="JF source wording"/>
                  <wp:cNvGraphicFramePr>
                    <a:graphicFrameLocks noChangeAspect="1"/>
                  </wp:cNvGraphicFramePr>
                  <a:graphic>
                    <a:graphicData uri="http://schemas.openxmlformats.org/drawingml/2006/picture">
                      <pic:pic>
                        <pic:nvPicPr>
                          <pic:cNvPr id="0" name="requirement-16-e5da499da7c8.png"/>
                          <pic:cNvPicPr/>
                        </pic:nvPicPr>
                        <pic:blipFill>
                          <a:blip r:embed="rId33"/>
                          <a:stretch>
                            <a:fillRect/>
                          </a:stretch>
                        </pic:blipFill>
                        <pic:spPr>
                          <a:xfrm>
                            <a:off x="0" y="0"/>
                            <a:ext cx="4224528" cy="125510"/>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Storeys and GFA are mandatory positive values for G1/Class D readiness; either missing value blocks. Module count remains optional.</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§6.1 · Master summary</w:t>
            </w:r>
          </w:p>
          <w:p>
            <w:pPr>
              <w:spacing w:after="0" w:line="245" w:lineRule="auto"/>
            </w:pPr>
            <w:r>
              <w:drawing>
                <wp:inline xmlns:a="http://schemas.openxmlformats.org/drawingml/2006/main" xmlns:pic="http://schemas.openxmlformats.org/drawingml/2006/picture">
                  <wp:extent cx="4224528" cy="125510"/>
                  <wp:docPr id="22" name="Picture 22" descr="必须和 Design Maturity 分开；Permit Issued 不代表 modular compatible。" title="JF source wording"/>
                  <wp:cNvGraphicFramePr>
                    <a:graphicFrameLocks noChangeAspect="1"/>
                  </wp:cNvGraphicFramePr>
                  <a:graphic>
                    <a:graphicData uri="http://schemas.openxmlformats.org/drawingml/2006/picture">
                      <pic:pic>
                        <pic:nvPicPr>
                          <pic:cNvPr id="0" name="requirement-17-b03f8b0edabf.png"/>
                          <pic:cNvPicPr/>
                        </pic:nvPicPr>
                        <pic:blipFill>
                          <a:blip r:embed="rId34"/>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Design maturity and modular compatibility are separate fields/rules. Permit/IFC without modular review requires Technical Review and blocks G1.</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§6.1 · Master summary</w:t>
            </w:r>
          </w:p>
          <w:p>
            <w:pPr>
              <w:spacing w:after="0" w:line="245" w:lineRule="auto"/>
            </w:pPr>
            <w:r>
              <w:drawing>
                <wp:inline xmlns:a="http://schemas.openxmlformats.org/drawingml/2006/main" xmlns:pic="http://schemas.openxmlformats.org/drawingml/2006/picture">
                  <wp:extent cx="4224528" cy="125510"/>
                  <wp:docPr id="23" name="Picture 23" descr="Grant / financing / equity / government / mixed 等；未完全落实通常是 Risk，不自动 No-Go。" title="JF source wording"/>
                  <wp:cNvGraphicFramePr>
                    <a:graphicFrameLocks noChangeAspect="1"/>
                  </wp:cNvGraphicFramePr>
                  <a:graphic>
                    <a:graphicData uri="http://schemas.openxmlformats.org/drawingml/2006/picture">
                      <pic:pic>
                        <pic:nvPicPr>
                          <pic:cNvPr id="0" name="requirement-18-73ddf99878f4.png"/>
                          <pic:cNvPicPr/>
                        </pic:nvPicPr>
                        <pic:blipFill>
                          <a:blip r:embed="rId35"/>
                          <a:stretch>
                            <a:fillRect/>
                          </a:stretch>
                        </pic:blipFill>
                        <pic:spPr>
                          <a:xfrm>
                            <a:off x="0" y="0"/>
                            <a:ext cx="4224528" cy="125510"/>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Funding In Process, Not Secured and Unknown produce visible risk flags and actions; none independently produces No-Go.</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§6.2 · Master summary</w:t>
            </w:r>
          </w:p>
          <w:p>
            <w:pPr>
              <w:spacing w:after="0" w:line="245" w:lineRule="auto"/>
            </w:pPr>
            <w:r>
              <w:drawing>
                <wp:inline xmlns:a="http://schemas.openxmlformats.org/drawingml/2006/main" xmlns:pic="http://schemas.openxmlformats.org/drawingml/2006/picture">
                  <wp:extent cx="4224528" cy="554087"/>
                  <wp:docPr id="24" name="Picture 24" descr="Evidence / Intake：收客观事实。&#10;Rules：Hard / Conditional / Risk。&#10;Eligibility：不是问 Pass/Fail，而是问 Eligible for WHAT。&#10;Route：CSA / PCS / governed LOI / Class D / Technical Review / Hold / No-Go 等。&#10;Score：最后才算，作为 management quality indicator；永远不能覆盖 Hard Rule。" title="JF source wording"/>
                  <wp:cNvGraphicFramePr>
                    <a:graphicFrameLocks noChangeAspect="1"/>
                  </wp:cNvGraphicFramePr>
                  <a:graphic>
                    <a:graphicData uri="http://schemas.openxmlformats.org/drawingml/2006/picture">
                      <pic:pic>
                        <pic:nvPicPr>
                          <pic:cNvPr id="0" name="requirement-19-617c82b4daf7.png"/>
                          <pic:cNvPicPr/>
                        </pic:nvPicPr>
                        <pic:blipFill>
                          <a:blip r:embed="rId36"/>
                          <a:stretch>
                            <a:fillRect/>
                          </a:stretch>
                        </pic:blipFill>
                        <pic:spPr>
                          <a:xfrm>
                            <a:off x="0" y="0"/>
                            <a:ext cx="4224528" cy="554087"/>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The rule engine follows this exact order. Eligibility and route are deterministic; score is calculated last and never overrides a Hard rule.</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§6.2 · Master summary</w:t>
            </w:r>
          </w:p>
          <w:p>
            <w:pPr>
              <w:spacing w:after="0" w:line="245" w:lineRule="auto"/>
            </w:pPr>
            <w:r>
              <w:drawing>
                <wp:inline xmlns:a="http://schemas.openxmlformats.org/drawingml/2006/main" xmlns:pic="http://schemas.openxmlformats.org/drawingml/2006/picture">
                  <wp:extent cx="4224528" cy="232655"/>
                  <wp:docPr id="25" name="Picture 25" descr="典型要求：Decision Authority 完全 Unknown 可以 HOLD；No Design 不自动 No-Go；Funding In Process 通常是 Risk；Permit Issued 但 modular incompatible 不能因为“设计成熟”而通过。" title="JF source wording"/>
                  <wp:cNvGraphicFramePr>
                    <a:graphicFrameLocks noChangeAspect="1"/>
                  </wp:cNvGraphicFramePr>
                  <a:graphic>
                    <a:graphicData uri="http://schemas.openxmlformats.org/drawingml/2006/picture">
                      <pic:pic>
                        <pic:nvPicPr>
                          <pic:cNvPr id="0" name="requirement-20-2d39660c741e.png"/>
                          <pic:cNvPicPr/>
                        </pic:nvPicPr>
                        <pic:blipFill>
                          <a:blip r:embed="rId37"/>
                          <a:stretch>
                            <a:fillRect/>
                          </a:stretch>
                        </pic:blipFill>
                        <pic:spPr>
                          <a:xfrm>
                            <a:off x="0" y="0"/>
                            <a:ext cx="4224528" cy="232655"/>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All four examples are encoded and tested: authority Hold; No Design → CSA; funding risk; permit-incompatible → Hold/No-Go.</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§6.3 · Master summary</w:t>
            </w:r>
          </w:p>
          <w:p>
            <w:pPr>
              <w:spacing w:after="0" w:line="245" w:lineRule="auto"/>
            </w:pPr>
            <w:r>
              <w:drawing>
                <wp:inline xmlns:a="http://schemas.openxmlformats.org/drawingml/2006/main" xmlns:pic="http://schemas.openxmlformats.org/drawingml/2006/picture">
                  <wp:extent cx="4224528" cy="125510"/>
                  <wp:docPr id="26" name="Picture 26" descr="[明确要求] 不同客户起点不同，Gate 1 / early pre-con 不能只有一条 linear route；但路径必须 bounded。" title="JF source wording"/>
                  <wp:cNvGraphicFramePr>
                    <a:graphicFrameLocks noChangeAspect="1"/>
                  </wp:cNvGraphicFramePr>
                  <a:graphic>
                    <a:graphicData uri="http://schemas.openxmlformats.org/drawingml/2006/picture">
                      <pic:pic>
                        <pic:nvPicPr>
                          <pic:cNvPr id="0" name="requirement-21-6c1e8b8e9425.png"/>
                          <pic:cNvPicPr/>
                        </pic:nvPicPr>
                        <pic:blipFill>
                          <a:blip r:embed="rId38"/>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Candidate/Multiple/Unassigned/No Site routes to bounded CSA; plan routes to Class D; recorded Class D routes to PCS; governed LOI cannot shortcut the sequence.</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§6.3 · Master summary</w:t>
            </w:r>
          </w:p>
          <w:p>
            <w:pPr>
              <w:spacing w:after="0" w:line="245" w:lineRule="auto"/>
            </w:pPr>
            <w:r>
              <w:drawing>
                <wp:inline xmlns:a="http://schemas.openxmlformats.org/drawingml/2006/main" xmlns:pic="http://schemas.openxmlformats.org/drawingml/2006/picture">
                  <wp:extent cx="4224528" cy="125510"/>
                  <wp:docPr id="27" name="Picture 27" descr="可能使用 optional governed LOI，但不能借此绕过后续受控 CSA / PCS / project path。" title="JF source wording"/>
                  <wp:cNvGraphicFramePr>
                    <a:graphicFrameLocks noChangeAspect="1"/>
                  </wp:cNvGraphicFramePr>
                  <a:graphic>
                    <a:graphicData uri="http://schemas.openxmlformats.org/drawingml/2006/picture">
                      <pic:pic>
                        <pic:nvPicPr>
                          <pic:cNvPr id="0" name="requirement-22-30fa7dea68c8.png"/>
                          <pic:cNvPicPr/>
                        </pic:nvPicPr>
                        <pic:blipFill>
                          <a:blip r:embed="rId39"/>
                          <a:stretch>
                            <a:fillRect/>
                          </a:stretch>
                        </pic:blipFill>
                        <pic:spPr>
                          <a:xfrm>
                            <a:off x="0" y="0"/>
                            <a:ext cx="4224528" cy="125510"/>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LOI is unavailable to Standard relationships unless policy enables it; it requires Class D evidence, scope/time caps, conversion trigger, review date and executive sign-off.</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§7 · Master summary</w:t>
            </w:r>
          </w:p>
          <w:p>
            <w:pPr>
              <w:spacing w:after="0" w:line="245" w:lineRule="auto"/>
            </w:pPr>
            <w:r>
              <w:drawing>
                <wp:inline xmlns:a="http://schemas.openxmlformats.org/drawingml/2006/main" xmlns:pic="http://schemas.openxmlformats.org/drawingml/2006/picture">
                  <wp:extent cx="4224528" cy="125510"/>
                  <wp:docPr id="28" name="Picture 28" descr="Class D 不是 quote；是 Sales-level early qualification / rough budget tool。" title="JF source wording"/>
                  <wp:cNvGraphicFramePr>
                    <a:graphicFrameLocks noChangeAspect="1"/>
                  </wp:cNvGraphicFramePr>
                  <a:graphic>
                    <a:graphicData uri="http://schemas.openxmlformats.org/drawingml/2006/picture">
                      <pic:pic>
                        <pic:nvPicPr>
                          <pic:cNvPr id="0" name="requirement-23-f3e6aba0807b.png"/>
                          <pic:cNvPicPr/>
                        </pic:nvPicPr>
                        <pic:blipFill>
                          <a:blip r:embed="rId40"/>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Gate 1 records route readiness only and does not require or invent a Class D amount. The controlled CEC form records the later estimate basis and disclaimer evidence.</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§7 · Master summary</w:t>
            </w:r>
          </w:p>
          <w:p>
            <w:pPr>
              <w:spacing w:after="0" w:line="245" w:lineRule="auto"/>
            </w:pPr>
            <w:r>
              <w:drawing>
                <wp:inline xmlns:a="http://schemas.openxmlformats.org/drawingml/2006/main" xmlns:pic="http://schemas.openxmlformats.org/drawingml/2006/picture">
                  <wp:extent cx="4224528" cy="232655"/>
                  <wp:docPr id="29" name="Picture 29" descr="如果连 Stories / GFA 都不知道，不应硬做一个假 Class D；应回到 Pre-Qualification / Consultation 补足项目规模。" title="JF source wording"/>
                  <wp:cNvGraphicFramePr>
                    <a:graphicFrameLocks noChangeAspect="1"/>
                  </wp:cNvGraphicFramePr>
                  <a:graphic>
                    <a:graphicData uri="http://schemas.openxmlformats.org/drawingml/2006/picture">
                      <pic:pic>
                        <pic:nvPicPr>
                          <pic:cNvPr id="0" name="requirement-24-d2de600429ad.png"/>
                          <pic:cNvPicPr/>
                        </pic:nvPicPr>
                        <pic:blipFill>
                          <a:blip r:embed="rId41"/>
                          <a:stretch>
                            <a:fillRect/>
                          </a:stretch>
                        </pic:blipFill>
                        <pic:spPr>
                          <a:xfrm>
                            <a:off x="0" y="0"/>
                            <a:ext cx="4224528" cy="232655"/>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Missing or non-positive storeys/GFA blocks qualification. No synthetic estimate or default $/sq.ft. amount is generated.</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§8 · Master summary</w:t>
            </w:r>
          </w:p>
          <w:p>
            <w:pPr>
              <w:spacing w:after="0" w:line="245" w:lineRule="auto"/>
            </w:pPr>
            <w:r>
              <w:drawing>
                <wp:inline xmlns:a="http://schemas.openxmlformats.org/drawingml/2006/main" xmlns:pic="http://schemas.openxmlformats.org/drawingml/2006/picture">
                  <wp:extent cx="4224528" cy="232655"/>
                  <wp:docPr id="30" name="Picture 30" descr="[明确 / strong working direction] 前面的客户可以走不同路线，但一旦达到 Class C，应该尽量成为“同一种可估价项目状态”；之前属于哪种 Client Type 就不再重要。" title="JF source wording"/>
                  <wp:cNvGraphicFramePr>
                    <a:graphicFrameLocks noChangeAspect="1"/>
                  </wp:cNvGraphicFramePr>
                  <a:graphic>
                    <a:graphicData uri="http://schemas.openxmlformats.org/drawingml/2006/picture">
                      <pic:pic>
                        <pic:nvPicPr>
                          <pic:cNvPr id="0" name="requirement-25-f70f34b51330.png"/>
                          <pic:cNvPicPr/>
                        </pic:nvPicPr>
                        <pic:blipFill>
                          <a:blip r:embed="rId42"/>
                          <a:stretch>
                            <a:fillRect/>
                          </a:stretch>
                        </pic:blipFill>
                        <pic:spPr>
                          <a:xfrm>
                            <a:off x="0" y="0"/>
                            <a:ext cx="4224528" cy="232655"/>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Commercial Pathway converges early variants into the Pre-Construction/CEC stream; G2 accepts a common Class C-ready technical/scope basis.</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§9 · Master summary</w:t>
            </w:r>
          </w:p>
          <w:p>
            <w:pPr>
              <w:spacing w:after="0" w:line="245" w:lineRule="auto"/>
            </w:pPr>
            <w:r>
              <w:drawing>
                <wp:inline xmlns:a="http://schemas.openxmlformats.org/drawingml/2006/main" xmlns:pic="http://schemas.openxmlformats.org/drawingml/2006/picture">
                  <wp:extent cx="4224528" cy="125510"/>
                  <wp:docPr id="31" name="Picture 31" descr="流程必须可以 re-evaluate / loop / hold / resume；但 coordinator 不应必须靠“某个作者本人”才能理解路径。" title="JF source wording"/>
                  <wp:cNvGraphicFramePr>
                    <a:graphicFrameLocks noChangeAspect="1"/>
                  </wp:cNvGraphicFramePr>
                  <a:graphic>
                    <a:graphicData uri="http://schemas.openxmlformats.org/drawingml/2006/picture">
                      <pic:pic>
                        <pic:nvPicPr>
                          <pic:cNvPr id="0" name="requirement-26-8021e671cbab.png"/>
                          <pic:cNvPicPr/>
                        </pic:nvPicPr>
                        <pic:blipFill>
                          <a:blip r:embed="rId43"/>
                          <a:stretch>
                            <a:fillRect/>
                          </a:stretch>
                        </pic:blipFill>
                        <pic:spPr>
                          <a:xfrm>
                            <a:off x="0" y="0"/>
                            <a:ext cx="4224528" cy="125510"/>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Opportunity can be re-evaluated at any step; status/rules are derived from saved evidence. L3 recurring/triggered controls preserve loops and exceptions without spaghetti.</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§10 · Master summary</w:t>
            </w:r>
          </w:p>
          <w:p>
            <w:pPr>
              <w:spacing w:after="0" w:line="245" w:lineRule="auto"/>
            </w:pPr>
            <w:r>
              <w:drawing>
                <wp:inline xmlns:a="http://schemas.openxmlformats.org/drawingml/2006/main" xmlns:pic="http://schemas.openxmlformats.org/drawingml/2006/picture">
                  <wp:extent cx="4224528" cy="232655"/>
                  <wp:docPr id="32" name="Picture 32" descr="Signed PSO + applicable funds 可 unlock Purchasing 的现有业务逻辑；Product decisions 必须有受控 release。" title="JF source wording"/>
                  <wp:cNvGraphicFramePr>
                    <a:graphicFrameLocks noChangeAspect="1"/>
                  </wp:cNvGraphicFramePr>
                  <a:graphic>
                    <a:graphicData uri="http://schemas.openxmlformats.org/drawingml/2006/picture">
                      <pic:pic>
                        <pic:nvPicPr>
                          <pic:cNvPr id="0" name="requirement-27-95ac942da7a3.png"/>
                          <pic:cNvPicPr/>
                        </pic:nvPicPr>
                        <pic:blipFill>
                          <a:blip r:embed="rId44"/>
                          <a:stretch>
                            <a:fillRect/>
                          </a:stretch>
                        </pic:blipFill>
                        <pic:spPr>
                          <a:xfrm>
                            <a:off x="0" y="0"/>
                            <a:ext cx="4224528" cy="232655"/>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PSO is a required signed/approved L3 control linked to Production Readiness and G3; final funds/approver policy remains a documented TBD.</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§11 · Master summary</w:t>
            </w:r>
          </w:p>
          <w:p>
            <w:pPr>
              <w:spacing w:after="0" w:line="245" w:lineRule="auto"/>
            </w:pPr>
            <w:r>
              <w:drawing>
                <wp:inline xmlns:a="http://schemas.openxmlformats.org/drawingml/2006/main" xmlns:pic="http://schemas.openxmlformats.org/drawingml/2006/picture">
                  <wp:extent cx="4224528" cy="232655"/>
                  <wp:docPr id="33" name="Picture 33" descr="Production 前必须有真正的 GO / HOLD control；Production 不应自己去多个文件里猜“到底 ready 了没有”。" title="JF source wording"/>
                  <wp:cNvGraphicFramePr>
                    <a:graphicFrameLocks noChangeAspect="1"/>
                  </wp:cNvGraphicFramePr>
                  <a:graphic>
                    <a:graphicData uri="http://schemas.openxmlformats.org/drawingml/2006/picture">
                      <pic:pic>
                        <pic:nvPicPr>
                          <pic:cNvPr id="0" name="requirement-28-a37798cc7c44.png"/>
                          <pic:cNvPicPr/>
                        </pic:nvPicPr>
                        <pic:blipFill>
                          <a:blip r:embed="rId45"/>
                          <a:stretch>
                            <a:fillRect/>
                          </a:stretch>
                        </pic:blipFill>
                        <pic:spPr>
                          <a:xfrm>
                            <a:off x="0" y="0"/>
                            <a:ext cx="4224528" cy="232655"/>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Production Readiness aggregates drawings, PSO, materials, permit, payment, MPS and changes; G3 is a separate approval release.</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§11 · Master summary</w:t>
            </w:r>
          </w:p>
          <w:p>
            <w:pPr>
              <w:spacing w:after="0" w:line="245" w:lineRule="auto"/>
            </w:pPr>
            <w:r>
              <w:drawing>
                <wp:inline xmlns:a="http://schemas.openxmlformats.org/drawingml/2006/main" xmlns:pic="http://schemas.openxmlformats.org/drawingml/2006/picture">
                  <wp:extent cx="4224528" cy="339799"/>
                  <wp:docPr id="34" name="Picture 34" descr="Factory work complete 不代表自动可以 shipment；release 还涉及 module condition、payment、logistics、site readiness / foundation / access / crane 等 whole-project dependency。" title="JF source wording"/>
                  <wp:cNvGraphicFramePr>
                    <a:graphicFrameLocks noChangeAspect="1"/>
                  </wp:cNvGraphicFramePr>
                  <a:graphic>
                    <a:graphicData uri="http://schemas.openxmlformats.org/drawingml/2006/picture">
                      <pic:pic>
                        <pic:nvPicPr>
                          <pic:cNvPr id="0" name="requirement-29-9719edef93c1.png"/>
                          <pic:cNvPicPr/>
                        </pic:nvPicPr>
                        <pic:blipFill>
                          <a:blip r:embed="rId46"/>
                          <a:stretch>
                            <a:fillRect/>
                          </a:stretch>
                        </pic:blipFill>
                        <pic:spPr>
                          <a:xfrm>
                            <a:off x="0" y="0"/>
                            <a:ext cx="4224528" cy="339799"/>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G4 separates Factory Completion from Release. MSO, QC, inspection, transport and site-readiness evidence remain prerequisites.</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§12 · Master summary</w:t>
            </w:r>
          </w:p>
          <w:p>
            <w:pPr>
              <w:spacing w:after="0" w:line="245" w:lineRule="auto"/>
            </w:pPr>
            <w:r>
              <w:drawing>
                <wp:inline xmlns:a="http://schemas.openxmlformats.org/drawingml/2006/main" xmlns:pic="http://schemas.openxmlformats.org/drawingml/2006/picture">
                  <wp:extent cx="4224528" cy="232655"/>
                  <wp:docPr id="35" name="Picture 35" descr="Warranty 不应该只是“文件最后一张”；系统要能追踪 warranty start basis、open obligations、claim/support、expiry，直到 Final Close。" title="JF source wording"/>
                  <wp:cNvGraphicFramePr>
                    <a:graphicFrameLocks noChangeAspect="1"/>
                  </wp:cNvGraphicFramePr>
                  <a:graphic>
                    <a:graphicData uri="http://schemas.openxmlformats.org/drawingml/2006/picture">
                      <pic:pic>
                        <pic:nvPicPr>
                          <pic:cNvPr id="0" name="requirement-30-e23ab3f45d2a.png"/>
                          <pic:cNvPicPr/>
                        </pic:nvPicPr>
                        <pic:blipFill>
                          <a:blip r:embed="rId47"/>
                          <a:stretch>
                            <a:fillRect/>
                          </a:stretch>
                        </pic:blipFill>
                        <pic:spPr>
                          <a:xfrm>
                            <a:off x="0" y="0"/>
                            <a:ext cx="4224528" cy="232655"/>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G5 records warranty start; Commissioning &amp; Warranty tracks WMA/support/notices; Final Close reconciles open obligations and acceptance.</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§13.2 · Master summary</w:t>
            </w:r>
          </w:p>
          <w:p>
            <w:pPr>
              <w:spacing w:after="0" w:line="245" w:lineRule="auto"/>
            </w:pPr>
            <w:r>
              <w:drawing>
                <wp:inline xmlns:a="http://schemas.openxmlformats.org/drawingml/2006/main" xmlns:pic="http://schemas.openxmlformats.org/drawingml/2006/picture">
                  <wp:extent cx="4224528" cy="232655"/>
                  <wp:docPr id="36" name="Picture 36" descr="同一 document 可以在多个 stage 出现。&#10;使用 REQUIRED / OPTIONAL / SUPPORTING / TRIGGERED 等标签，而不是强迫所有文件线性发生。" title="JF source wording"/>
                  <wp:cNvGraphicFramePr>
                    <a:graphicFrameLocks noChangeAspect="1"/>
                  </wp:cNvGraphicFramePr>
                  <a:graphic>
                    <a:graphicData uri="http://schemas.openxmlformats.org/drawingml/2006/picture">
                      <pic:pic>
                        <pic:nvPicPr>
                          <pic:cNvPr id="0" name="requirement-31-1e47829d2240.png"/>
                          <pic:cNvPicPr/>
                        </pic:nvPicPr>
                        <pic:blipFill>
                          <a:blip r:embed="rId48"/>
                          <a:stretch>
                            <a:fillRect/>
                          </a:stretch>
                        </pic:blipFill>
                        <pic:spPr>
                          <a:xfrm>
                            <a:off x="0" y="0"/>
                            <a:ext cx="4224528" cy="232655"/>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All 52 forms carry one home node plus one-or-more lifecycle touchpoints and one of six applicability classes; Conditional/Triggered records require an explicit decision.</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§14 · Master summary</w:t>
            </w:r>
          </w:p>
          <w:p>
            <w:pPr>
              <w:spacing w:after="0" w:line="245" w:lineRule="auto"/>
            </w:pPr>
            <w:r>
              <w:drawing>
                <wp:inline xmlns:a="http://schemas.openxmlformats.org/drawingml/2006/main" xmlns:pic="http://schemas.openxmlformats.org/drawingml/2006/picture">
                  <wp:extent cx="4224528" cy="446943"/>
                  <wp:docPr id="37" name="Picture 37" descr="RM&#10;High-level core-party responsibility allocation，通常 GC / ProFab / Client；不要塞所有 subcontractors。&#10;SOW&#10;更详细的 scope delineation：included/excluded、连接边界、谁 supply/install。" title="JF source wording"/>
                  <wp:cNvGraphicFramePr>
                    <a:graphicFrameLocks noChangeAspect="1"/>
                  </wp:cNvGraphicFramePr>
                  <a:graphic>
                    <a:graphicData uri="http://schemas.openxmlformats.org/drawingml/2006/picture">
                      <pic:pic>
                        <pic:nvPicPr>
                          <pic:cNvPr id="0" name="requirement-32-e67dec735afa.png"/>
                          <pic:cNvPicPr/>
                        </pic:nvPicPr>
                        <pic:blipFill>
                          <a:blip r:embed="rId49"/>
                          <a:stretch>
                            <a:fillRect/>
                          </a:stretch>
                        </pic:blipFill>
                        <pic:spPr>
                          <a:xfrm>
                            <a:off x="0" y="0"/>
                            <a:ext cx="4224528" cy="446943"/>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The L3 Responsibility Matrix stays at 18 high-level delivery areas/4 core parties; SOW is a separate detailed controlled form for exact boundaries.</w:t>
            </w:r>
          </w:p>
        </w:tc>
      </w:tr>
      <w:tr>
        <w:trPr>
          <w:cantSplit/>
        </w:trPr>
        <w:tc>
          <w:tcPr>
            <w:tcW w:type="dxa" w:w="7056"/>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§19 · Master summary</w:t>
            </w:r>
          </w:p>
          <w:p>
            <w:pPr>
              <w:spacing w:after="0" w:line="245" w:lineRule="auto"/>
            </w:pPr>
            <w:r>
              <w:drawing>
                <wp:inline xmlns:a="http://schemas.openxmlformats.org/drawingml/2006/main" xmlns:pic="http://schemas.openxmlformats.org/drawingml/2006/picture">
                  <wp:extent cx="4224528" cy="125510"/>
                  <wp:docPr id="38" name="Picture 38" descr="界面/输入必须 simple；先高层 visual，再 progressive breakdown。" title="JF source wording"/>
                  <wp:cNvGraphicFramePr>
                    <a:graphicFrameLocks noChangeAspect="1"/>
                  </wp:cNvGraphicFramePr>
                  <a:graphic>
                    <a:graphicData uri="http://schemas.openxmlformats.org/drawingml/2006/picture">
                      <pic:pic>
                        <pic:nvPicPr>
                          <pic:cNvPr id="0" name="requirement-33-a3d8a952c348.png"/>
                          <pic:cNvPicPr/>
                        </pic:nvPicPr>
                        <pic:blipFill>
                          <a:blip r:embed="rId50"/>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L1 is intentionally concise; L2 adds process/gates; L3 exposes forms, matrices, fields, approvals and evidence. Responsive behavior was verified at five widths.</w:t>
            </w:r>
          </w:p>
        </w:tc>
      </w:tr>
      <w:tr>
        <w:trPr>
          <w:cantSplit/>
        </w:trPr>
        <w:tc>
          <w:tcPr>
            <w:tcW w:type="dxa" w:w="7056"/>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F5A94"/>
                <w:sz w:val="14"/>
              </w:rPr>
              <w:t>§21 · Master summary</w:t>
            </w:r>
          </w:p>
          <w:p>
            <w:pPr>
              <w:spacing w:after="0" w:line="245" w:lineRule="auto"/>
            </w:pPr>
            <w:r>
              <w:drawing>
                <wp:inline xmlns:a="http://schemas.openxmlformats.org/drawingml/2006/main" xmlns:pic="http://schemas.openxmlformats.org/drawingml/2006/picture">
                  <wp:extent cx="4224528" cy="339799"/>
                  <wp:docPr id="39" name="Picture 39" descr="然后把现有 documents 映射到真实 process，找缺失 / 重复 / recurring / triggered files。&#10;再标准化 / 创建 Forms，处理 version / bilingual / signature / document control。&#10;用 past projects 回放测试 process，主动找 loopholes。" title="JF source wording"/>
                  <wp:cNvGraphicFramePr>
                    <a:graphicFrameLocks noChangeAspect="1"/>
                  </wp:cNvGraphicFramePr>
                  <a:graphic>
                    <a:graphicData uri="http://schemas.openxmlformats.org/drawingml/2006/picture">
                      <pic:pic>
                        <pic:nvPicPr>
                          <pic:cNvPr id="0" name="requirement-34-b0b86a19bff5.png"/>
                          <pic:cNvPicPr/>
                        </pic:nvPicPr>
                        <pic:blipFill>
                          <a:blip r:embed="rId51"/>
                          <a:stretch>
                            <a:fillRect/>
                          </a:stretch>
                        </pic:blipFill>
                        <pic:spPr>
                          <a:xfrm>
                            <a:off x="0" y="0"/>
                            <a:ext cx="4224528" cy="339799"/>
                          </a:xfrm>
                          <a:prstGeom prst="rect"/>
                        </pic:spPr>
                      </pic:pic>
                    </a:graphicData>
                  </a:graphic>
                </wp:inline>
              </w:drawing>
            </w:r>
          </w:p>
        </w:tc>
        <w:tc>
          <w:tcPr>
            <w:tcW w:type="dxa" w:w="7200"/>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0F7B5A"/>
                <w:sz w:val="14"/>
              </w:rPr>
              <w:t>Implemented</w:t>
            </w:r>
          </w:p>
          <w:p>
            <w:pPr>
              <w:spacing w:after="0" w:line="245" w:lineRule="auto"/>
            </w:pPr>
            <w:r>
              <w:rPr>
                <w:rFonts w:ascii="Aptos" w:hAnsi="Aptos" w:eastAsia="Arial Unicode MS"/>
                <w:b w:val="0"/>
                <w:i w:val="0"/>
                <w:color w:val="172033"/>
                <w:sz w:val="14"/>
              </w:rPr>
              <w:t>Complete 52-record L3 catalog, source QA, revision/language/signature/approval controls, plus automated replay scenarios and full UI tests.</w:t>
            </w:r>
          </w:p>
        </w:tc>
      </w:tr>
    </w:tbl>
    <w:p>
      <w:pPr>
        <w:sectPr>
          <w:pgSz w:w="15840" w:h="12240" w:orient="landscape"/>
          <w:pgMar w:top="648" w:right="691" w:bottom="691" w:left="691" w:header="360" w:footer="360" w:gutter="0"/>
          <w:cols w:space="720"/>
          <w:docGrid w:linePitch="360"/>
        </w:sectPr>
      </w:pPr>
    </w:p>
    <w:p>
      <w:pPr>
        <w:keepNext/>
        <w:spacing w:after="60"/>
      </w:pPr>
      <w:r>
        <w:rPr>
          <w:rFonts w:ascii="Aptos" w:hAnsi="Aptos" w:eastAsia="Arial Unicode MS"/>
          <w:b/>
          <w:color w:val="159A85"/>
          <w:sz w:val="16"/>
        </w:rPr>
        <w:t>05 / L3 CONTROLLED REGISTER</w:t>
      </w:r>
    </w:p>
    <w:p>
      <w:pPr>
        <w:pStyle w:val="Heading1"/>
      </w:pPr>
      <w:r>
        <w:t>Every form has an operational schema</w:t>
      </w:r>
    </w:p>
    <w:p>
      <w:r>
        <w:rPr>
          <w:rFonts w:ascii="Aptos" w:hAnsi="Aptos" w:eastAsia="Arial Unicode MS"/>
          <w:i w:val="0"/>
          <w:color w:val="172033"/>
          <w:sz w:val="18"/>
        </w:rPr>
        <w:t>The digital form is intentionally more than a file link. Each of the 52 records has six common evidence fields plus four fields selected by its operational profile. If an Optional or Supporting form is used, its required internal fields still apply; its optionality only prevents it from becoming an automatic Gate prerequisite.</w:t>
      </w:r>
    </w:p>
    <w:tbl>
      <w:tblPr>
        <w:tblStyle w:val="TableGrid"/>
        <w:tblW w:type="auto" w:w="0"/>
        <w:jc w:val="center"/>
        <w:tblLook w:firstColumn="1" w:firstRow="1" w:lastColumn="0" w:lastRow="0" w:noHBand="0" w:noVBand="1" w:val="04A0"/>
        <w:tblLayout w:type="fixed"/>
      </w:tblPr>
      <w:tblGrid>
        <w:gridCol w:w="5141"/>
        <w:gridCol w:w="5141"/>
      </w:tblGrid>
      <w:tr>
        <w:trPr>
          <w:tblHeader w:val="true"/>
          <w:cantSplit/>
        </w:trPr>
        <w:tc>
          <w:tcPr>
            <w:tcW w:type="dxa" w:w="1944"/>
            <w:shd w:fill="159A85"/>
            <w:tcMar>
              <w:top w:w="80" w:type="dxa"/>
              <w:start w:w="90" w:type="dxa"/>
              <w:bottom w:w="80" w:type="dxa"/>
              <w:end w:w="90" w:type="dxa"/>
            </w:tcMar>
            <w:vAlign w:val="center"/>
          </w:tcPr>
          <w:p>
            <w:pPr>
              <w:spacing w:after="0"/>
              <w:jc w:val="left"/>
            </w:pPr>
            <w:r/>
            <w:r>
              <w:rPr>
                <w:rFonts w:ascii="Aptos" w:hAnsi="Aptos" w:eastAsia="Arial Unicode MS"/>
                <w:b/>
                <w:color w:val="FFFFFF"/>
                <w:sz w:val="15"/>
              </w:rPr>
              <w:t>Schema</w:t>
            </w:r>
          </w:p>
        </w:tc>
        <w:tc>
          <w:tcPr>
            <w:tcW w:type="dxa" w:w="7776"/>
            <w:shd w:fill="159A85"/>
            <w:tcMar>
              <w:top w:w="80" w:type="dxa"/>
              <w:start w:w="90" w:type="dxa"/>
              <w:bottom w:w="80" w:type="dxa"/>
              <w:end w:w="90" w:type="dxa"/>
            </w:tcMar>
            <w:vAlign w:val="center"/>
          </w:tcPr>
          <w:p>
            <w:pPr>
              <w:spacing w:after="0"/>
              <w:jc w:val="left"/>
            </w:pPr>
            <w:r/>
            <w:r>
              <w:rPr>
                <w:rFonts w:ascii="Aptos" w:hAnsi="Aptos" w:eastAsia="Arial Unicode MS"/>
                <w:b/>
                <w:color w:val="FFFFFF"/>
                <w:sz w:val="15"/>
              </w:rPr>
              <w:t>Controlled fields</w:t>
            </w:r>
          </w:p>
        </w:tc>
      </w:tr>
      <w:tr>
        <w:trPr>
          <w:cantSplit/>
        </w:trPr>
        <w:tc>
          <w:tcPr>
            <w:tcW w:type="dxa" w:w="1944"/>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All profiles</w:t>
            </w:r>
          </w:p>
        </w:tc>
        <w:tc>
          <w:tcPr>
            <w:tcW w:type="dxa" w:w="7776"/>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Project name; Project/file number; Prepared by; Record date; form-specific primary record; Evidence/attachment references</w:t>
            </w:r>
          </w:p>
        </w:tc>
      </w:tr>
      <w:tr>
        <w:trPr>
          <w:cantSplit/>
        </w:trPr>
        <w:tc>
          <w:tcPr>
            <w:tcW w:type="dxa" w:w="194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Presentation</w:t>
            </w:r>
          </w:p>
        </w:tc>
        <w:tc>
          <w:tcPr>
            <w:tcW w:type="dxa" w:w="777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Intended audience; Purpose/call to action; Content revision; Release status</w:t>
            </w:r>
          </w:p>
        </w:tc>
      </w:tr>
      <w:tr>
        <w:trPr>
          <w:cantSplit/>
        </w:trPr>
        <w:tc>
          <w:tcPr>
            <w:tcW w:type="dxa" w:w="1944"/>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Agreement</w:t>
            </w:r>
          </w:p>
        </w:tc>
        <w:tc>
          <w:tcPr>
            <w:tcW w:type="dxa" w:w="7776"/>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Counterparty; Scope/commercial basis; Effective date; Execution state</w:t>
            </w:r>
          </w:p>
        </w:tc>
      </w:tr>
      <w:tr>
        <w:trPr>
          <w:cantSplit/>
        </w:trPr>
        <w:tc>
          <w:tcPr>
            <w:tcW w:type="dxa" w:w="194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Meeting</w:t>
            </w:r>
          </w:p>
        </w:tc>
        <w:tc>
          <w:tcPr>
            <w:tcW w:type="dxa" w:w="777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Meeting date; Attendees/organizations; Decisions; Open actions/owners/dates</w:t>
            </w:r>
          </w:p>
        </w:tc>
      </w:tr>
      <w:tr>
        <w:trPr>
          <w:cantSplit/>
        </w:trPr>
        <w:tc>
          <w:tcPr>
            <w:tcW w:type="dxa" w:w="1944"/>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Analysis</w:t>
            </w:r>
          </w:p>
        </w:tc>
        <w:tc>
          <w:tcPr>
            <w:tcW w:type="dxa" w:w="7776"/>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Analysis/estimate basis; Assumptions/exclusions; Findings; Recommendation/next action</w:t>
            </w:r>
          </w:p>
        </w:tc>
      </w:tr>
      <w:tr>
        <w:trPr>
          <w:cantSplit/>
        </w:trPr>
        <w:tc>
          <w:tcPr>
            <w:tcW w:type="dxa" w:w="194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Approval</w:t>
            </w:r>
          </w:p>
        </w:tc>
        <w:tc>
          <w:tcPr>
            <w:tcW w:type="dxa" w:w="777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Approval subject/revision; Authorized approver; Approval date; Decision</w:t>
            </w:r>
          </w:p>
        </w:tc>
      </w:tr>
      <w:tr>
        <w:trPr>
          <w:cantSplit/>
        </w:trPr>
        <w:tc>
          <w:tcPr>
            <w:tcW w:type="dxa" w:w="1944"/>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Register</w:t>
            </w:r>
          </w:p>
        </w:tc>
        <w:tc>
          <w:tcPr>
            <w:tcW w:type="dxa" w:w="7776"/>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Record/issue reference; Action owner; Target/response date; Record status</w:t>
            </w:r>
          </w:p>
        </w:tc>
      </w:tr>
      <w:tr>
        <w:trPr>
          <w:cantSplit/>
        </w:trPr>
        <w:tc>
          <w:tcPr>
            <w:tcW w:type="dxa" w:w="194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Report</w:t>
            </w:r>
          </w:p>
        </w:tc>
        <w:tc>
          <w:tcPr>
            <w:tcW w:type="dxa" w:w="777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Module/area/subject; Inspection/event date; Findings/evidence; Disposition</w:t>
            </w:r>
          </w:p>
        </w:tc>
      </w:tr>
      <w:tr>
        <w:trPr>
          <w:cantSplit/>
        </w:trPr>
        <w:tc>
          <w:tcPr>
            <w:tcW w:type="dxa" w:w="1944"/>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Instructions</w:t>
            </w:r>
          </w:p>
        </w:tc>
        <w:tc>
          <w:tcPr>
            <w:tcW w:type="dxa" w:w="7776"/>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Applicable revision; Prerequisites; Controlled sequence; Issued to/acknowledged by</w:t>
            </w:r>
          </w:p>
        </w:tc>
      </w:tr>
      <w:tr>
        <w:trPr>
          <w:cantSplit/>
        </w:trPr>
        <w:tc>
          <w:tcPr>
            <w:tcW w:type="dxa" w:w="194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Schedule</w:t>
            </w:r>
          </w:p>
        </w:tc>
        <w:tc>
          <w:tcPr>
            <w:tcW w:type="dxa" w:w="777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Baseline date; Period/milestone range; Critical constraints; Schedule status</w:t>
            </w:r>
          </w:p>
        </w:tc>
      </w:tr>
      <w:tr>
        <w:trPr>
          <w:cantSplit/>
        </w:trPr>
        <w:tc>
          <w:tcPr>
            <w:tcW w:type="dxa" w:w="1944"/>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Service</w:t>
            </w:r>
          </w:p>
        </w:tc>
        <w:tc>
          <w:tcPr>
            <w:tcW w:type="dxa" w:w="7776"/>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Service request; Owner; Response date; Service status</w:t>
            </w:r>
          </w:p>
        </w:tc>
      </w:tr>
      <w:tr>
        <w:trPr>
          <w:cantSplit/>
        </w:trPr>
        <w:tc>
          <w:tcPr>
            <w:tcW w:type="dxa" w:w="194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Package</w:t>
            </w:r>
          </w:p>
        </w:tc>
        <w:tc>
          <w:tcPr>
            <w:tcW w:type="dxa" w:w="777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Contents/index; Revision/change basis; Transmittal; Acceptance status</w:t>
            </w:r>
          </w:p>
        </w:tc>
      </w:tr>
      <w:tr>
        <w:trPr>
          <w:cantSplit/>
        </w:trPr>
        <w:tc>
          <w:tcPr>
            <w:tcW w:type="dxa" w:w="1944"/>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Notice</w:t>
            </w:r>
          </w:p>
        </w:tc>
        <w:tc>
          <w:tcPr>
            <w:tcW w:type="dxa" w:w="7776"/>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Recipient/authority; Event date; Impact; Response deadline</w:t>
            </w:r>
          </w:p>
        </w:tc>
      </w:tr>
    </w:tbl>
    <w:p>
      <w:r>
        <w:rPr>
          <w:rFonts w:ascii="Aptos" w:hAnsi="Aptos" w:eastAsia="Arial Unicode MS"/>
          <w:i/>
          <w:color w:val="5D6A7E"/>
          <w:sz w:val="16"/>
        </w:rPr>
        <w:t>Applicability distribution: Conditional 18, Optional 2, Required 17, Supporting 4, Triggered 11.</w:t>
      </w:r>
    </w:p>
    <w:p>
      <w:pPr>
        <w:sectPr>
          <w:pgSz w:w="12240" w:h="15840"/>
          <w:pgMar w:top="893" w:right="979" w:bottom="893" w:left="979" w:header="360" w:footer="360" w:gutter="0"/>
          <w:cols w:space="720"/>
          <w:docGrid w:linePitch="360"/>
        </w:sectPr>
      </w:pPr>
    </w:p>
    <w:p>
      <w:pPr>
        <w:keepNext/>
        <w:spacing w:after="60"/>
      </w:pPr>
      <w:r>
        <w:rPr>
          <w:rFonts w:ascii="Aptos" w:hAnsi="Aptos" w:eastAsia="Arial Unicode MS"/>
          <w:b/>
          <w:color w:val="159A85"/>
          <w:sz w:val="16"/>
        </w:rPr>
        <w:t>05 / L3 CONTROLLED REGISTER</w:t>
      </w:r>
    </w:p>
    <w:p>
      <w:pPr>
        <w:pStyle w:val="Heading1"/>
      </w:pPr>
      <w:r>
        <w:t>Complete 52-form register</w:t>
      </w:r>
    </w:p>
    <w:tbl>
      <w:tblPr>
        <w:tblStyle w:val="TableGrid"/>
        <w:tblW w:type="auto" w:w="0"/>
        <w:jc w:val="center"/>
        <w:tblLook w:firstColumn="1" w:firstRow="1" w:lastColumn="0" w:lastRow="0" w:noHBand="0" w:noVBand="1" w:val="04A0"/>
        <w:tblLayout w:type="fixed"/>
      </w:tblPr>
      <w:tblGrid>
        <w:gridCol w:w="2410"/>
        <w:gridCol w:w="2410"/>
        <w:gridCol w:w="2410"/>
        <w:gridCol w:w="2410"/>
        <w:gridCol w:w="2410"/>
        <w:gridCol w:w="2410"/>
      </w:tblGrid>
      <w:tr>
        <w:trPr>
          <w:tblHeader w:val="true"/>
          <w:cantSplit/>
        </w:trPr>
        <w:tc>
          <w:tcPr>
            <w:tcW w:type="dxa" w:w="1008"/>
            <w:shd w:fill="0B1F33"/>
            <w:tcMar>
              <w:top w:w="80" w:type="dxa"/>
              <w:start w:w="90" w:type="dxa"/>
              <w:bottom w:w="80" w:type="dxa"/>
              <w:end w:w="90" w:type="dxa"/>
            </w:tcMar>
            <w:vAlign w:val="center"/>
          </w:tcPr>
          <w:p>
            <w:pPr>
              <w:spacing w:after="0"/>
              <w:jc w:val="left"/>
            </w:pPr>
            <w:r/>
            <w:r>
              <w:rPr>
                <w:rFonts w:ascii="Aptos" w:hAnsi="Aptos" w:eastAsia="Arial Unicode MS"/>
                <w:b/>
                <w:color w:val="FFFFFF"/>
                <w:sz w:val="12"/>
              </w:rPr>
              <w:t>Index / code</w:t>
            </w:r>
          </w:p>
        </w:tc>
        <w:tc>
          <w:tcPr>
            <w:tcW w:type="dxa" w:w="3384"/>
            <w:shd w:fill="0B1F33"/>
            <w:tcMar>
              <w:top w:w="80" w:type="dxa"/>
              <w:start w:w="90" w:type="dxa"/>
              <w:bottom w:w="80" w:type="dxa"/>
              <w:end w:w="90" w:type="dxa"/>
            </w:tcMar>
            <w:vAlign w:val="center"/>
          </w:tcPr>
          <w:p>
            <w:pPr>
              <w:spacing w:after="0"/>
              <w:jc w:val="left"/>
            </w:pPr>
            <w:r/>
            <w:r>
              <w:rPr>
                <w:rFonts w:ascii="Aptos" w:hAnsi="Aptos" w:eastAsia="Arial Unicode MS"/>
                <w:b/>
                <w:color w:val="FFFFFF"/>
                <w:sz w:val="12"/>
              </w:rPr>
              <w:t>Controlled title &amp; operational focus</w:t>
            </w:r>
          </w:p>
        </w:tc>
        <w:tc>
          <w:tcPr>
            <w:tcW w:type="dxa" w:w="2232"/>
            <w:shd w:fill="0B1F33"/>
            <w:tcMar>
              <w:top w:w="80" w:type="dxa"/>
              <w:start w:w="90" w:type="dxa"/>
              <w:bottom w:w="80" w:type="dxa"/>
              <w:end w:w="90" w:type="dxa"/>
            </w:tcMar>
            <w:vAlign w:val="center"/>
          </w:tcPr>
          <w:p>
            <w:pPr>
              <w:spacing w:after="0"/>
              <w:jc w:val="left"/>
            </w:pPr>
            <w:r/>
            <w:r>
              <w:rPr>
                <w:rFonts w:ascii="Aptos" w:hAnsi="Aptos" w:eastAsia="Arial Unicode MS"/>
                <w:b/>
                <w:color w:val="FFFFFF"/>
                <w:sz w:val="12"/>
              </w:rPr>
              <w:t>L2 home</w:t>
            </w:r>
          </w:p>
        </w:tc>
        <w:tc>
          <w:tcPr>
            <w:tcW w:type="dxa" w:w="2880"/>
            <w:shd w:fill="0B1F33"/>
            <w:tcMar>
              <w:top w:w="80" w:type="dxa"/>
              <w:start w:w="90" w:type="dxa"/>
              <w:bottom w:w="80" w:type="dxa"/>
              <w:end w:w="90" w:type="dxa"/>
            </w:tcMar>
            <w:vAlign w:val="center"/>
          </w:tcPr>
          <w:p>
            <w:pPr>
              <w:spacing w:after="0"/>
              <w:jc w:val="left"/>
            </w:pPr>
            <w:r/>
            <w:r>
              <w:rPr>
                <w:rFonts w:ascii="Aptos" w:hAnsi="Aptos" w:eastAsia="Arial Unicode MS"/>
                <w:b/>
                <w:color w:val="FFFFFF"/>
                <w:sz w:val="12"/>
              </w:rPr>
              <w:t>Lifecycle touchpoints</w:t>
            </w:r>
          </w:p>
        </w:tc>
        <w:tc>
          <w:tcPr>
            <w:tcW w:type="dxa" w:w="2016"/>
            <w:shd w:fill="0B1F33"/>
            <w:tcMar>
              <w:top w:w="80" w:type="dxa"/>
              <w:start w:w="90" w:type="dxa"/>
              <w:bottom w:w="80" w:type="dxa"/>
              <w:end w:w="90" w:type="dxa"/>
            </w:tcMar>
            <w:vAlign w:val="center"/>
          </w:tcPr>
          <w:p>
            <w:pPr>
              <w:spacing w:after="0"/>
              <w:jc w:val="left"/>
            </w:pPr>
            <w:r/>
            <w:r>
              <w:rPr>
                <w:rFonts w:ascii="Aptos" w:hAnsi="Aptos" w:eastAsia="Arial Unicode MS"/>
                <w:b/>
                <w:color w:val="FFFFFF"/>
                <w:sz w:val="12"/>
              </w:rPr>
              <w:t>Applicability / controls</w:t>
            </w:r>
          </w:p>
        </w:tc>
        <w:tc>
          <w:tcPr>
            <w:tcW w:type="dxa" w:w="2880"/>
            <w:shd w:fill="0B1F33"/>
            <w:tcMar>
              <w:top w:w="80" w:type="dxa"/>
              <w:start w:w="90" w:type="dxa"/>
              <w:bottom w:w="80" w:type="dxa"/>
              <w:end w:w="90" w:type="dxa"/>
            </w:tcMar>
            <w:vAlign w:val="center"/>
          </w:tcPr>
          <w:p>
            <w:pPr>
              <w:spacing w:after="0"/>
              <w:jc w:val="left"/>
            </w:pPr>
            <w:r/>
            <w:r>
              <w:rPr>
                <w:rFonts w:ascii="Aptos" w:hAnsi="Aptos" w:eastAsia="Arial Unicode MS"/>
                <w:b/>
                <w:color w:val="FFFFFF"/>
                <w:sz w:val="12"/>
              </w:rPr>
              <w:t>Source / owner / approvers</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1.1</w:t>
              <w:br/>
              <w:t>—</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Corporate Presentation</w:t>
            </w:r>
          </w:p>
          <w:p>
            <w:pPr>
              <w:spacing w:after="0" w:line="245" w:lineRule="auto"/>
            </w:pPr>
            <w:r>
              <w:rPr>
                <w:rFonts w:ascii="Aptos" w:hAnsi="Aptos" w:eastAsia="Arial Unicode MS"/>
                <w:b w:val="0"/>
                <w:i/>
                <w:color w:val="5D6A7E"/>
                <w:sz w:val="12"/>
              </w:rPr>
              <w:t>Focus: Capabilities and project evidence presented</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Opportunity &amp; Qualification</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Opportunity</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Supporting · Document</w:t>
              <w:br/>
              <w:t>10 fields</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Sales / Marketing</w:t>
            </w:r>
          </w:p>
          <w:p>
            <w:pPr>
              <w:spacing w:after="0" w:line="245" w:lineRule="auto"/>
            </w:pPr>
            <w:r>
              <w:rPr>
                <w:rFonts w:ascii="Aptos" w:hAnsi="Aptos" w:eastAsia="Arial Unicode MS"/>
                <w:b w:val="0"/>
                <w:i w:val="0"/>
                <w:color w:val="5D6A7E"/>
                <w:sz w:val="12"/>
              </w:rPr>
              <w:t>Approvers: Sales, Management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1.2</w:t>
              <w:br/>
              <w:t>EOI</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Expression of Interest</w:t>
            </w:r>
          </w:p>
          <w:p>
            <w:pPr>
              <w:spacing w:after="0" w:line="245" w:lineRule="auto"/>
            </w:pPr>
            <w:r>
              <w:rPr>
                <w:rFonts w:ascii="Aptos" w:hAnsi="Aptos" w:eastAsia="Arial Unicode MS"/>
                <w:b w:val="0"/>
                <w:i/>
                <w:color w:val="5D6A7E"/>
                <w:sz w:val="12"/>
              </w:rPr>
              <w:t>Focus: Client interest and intended next step</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Opportunity &amp; Qualification</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Opportunity → G1</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Optional · Document</w:t>
              <w:br/>
              <w:t>10 fields</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Sales</w:t>
            </w:r>
          </w:p>
          <w:p>
            <w:pPr>
              <w:spacing w:after="0" w:line="245" w:lineRule="auto"/>
            </w:pPr>
            <w:r>
              <w:rPr>
                <w:rFonts w:ascii="Aptos" w:hAnsi="Aptos" w:eastAsia="Arial Unicode MS"/>
                <w:b w:val="0"/>
                <w:i w:val="0"/>
                <w:color w:val="5D6A7E"/>
                <w:sz w:val="12"/>
              </w:rPr>
              <w:t>Approvers: Sales</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2.1</w:t>
              <w:br/>
              <w:t>CSA</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Consultation Services Agreement</w:t>
            </w:r>
          </w:p>
          <w:p>
            <w:pPr>
              <w:spacing w:after="0" w:line="245" w:lineRule="auto"/>
            </w:pPr>
            <w:r>
              <w:rPr>
                <w:rFonts w:ascii="Aptos" w:hAnsi="Aptos" w:eastAsia="Arial Unicode MS"/>
                <w:b w:val="0"/>
                <w:i/>
                <w:color w:val="5D6A7E"/>
                <w:sz w:val="12"/>
              </w:rPr>
              <w:t>Focus: Consultation deliverables and boundaries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Pathway</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 Pre-Con</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Agreement</w:t>
              <w:br/>
              <w:t>10 fields · signature</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10–17</w:t>
              <w:br/>
              <w:t>S2.1 v250528</w:t>
            </w:r>
          </w:p>
          <w:p>
            <w:pPr>
              <w:spacing w:after="30" w:line="245" w:lineRule="auto"/>
            </w:pPr>
            <w:r>
              <w:rPr>
                <w:rFonts w:ascii="Aptos" w:hAnsi="Aptos" w:eastAsia="Arial Unicode MS"/>
                <w:b w:val="0"/>
                <w:i w:val="0"/>
                <w:color w:val="5D6A7E"/>
                <w:sz w:val="12"/>
              </w:rPr>
              <w:t>Owner: Technical / Sales</w:t>
            </w:r>
          </w:p>
          <w:p>
            <w:pPr>
              <w:spacing w:after="0" w:line="245" w:lineRule="auto"/>
            </w:pPr>
            <w:r>
              <w:rPr>
                <w:rFonts w:ascii="Aptos" w:hAnsi="Aptos" w:eastAsia="Arial Unicode MS"/>
                <w:b w:val="0"/>
                <w:i w:val="0"/>
                <w:color w:val="5D6A7E"/>
                <w:sz w:val="12"/>
              </w:rPr>
              <w:t>Approvers: Sales, Technical, Client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2.1.1</w:t>
              <w:br/>
              <w:t>—</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Meeting #1</w:t>
            </w:r>
          </w:p>
          <w:p>
            <w:pPr>
              <w:spacing w:after="0" w:line="245" w:lineRule="auto"/>
            </w:pPr>
            <w:r>
              <w:rPr>
                <w:rFonts w:ascii="Aptos" w:hAnsi="Aptos" w:eastAsia="Arial Unicode MS"/>
                <w:b w:val="0"/>
                <w:i/>
                <w:color w:val="5D6A7E"/>
                <w:sz w:val="12"/>
              </w:rPr>
              <w:t>Focus: Initial goals, requirements, and expectations</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Pathway</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 Pre-Con</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Evidence</w:t>
              <w:br/>
              <w:t>10 fields</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Technical / Sales</w:t>
            </w:r>
          </w:p>
          <w:p>
            <w:pPr>
              <w:spacing w:after="0" w:line="245" w:lineRule="auto"/>
            </w:pPr>
            <w:r>
              <w:rPr>
                <w:rFonts w:ascii="Aptos" w:hAnsi="Aptos" w:eastAsia="Arial Unicode MS"/>
                <w:b w:val="0"/>
                <w:i w:val="0"/>
                <w:color w:val="5D6A7E"/>
                <w:sz w:val="12"/>
              </w:rPr>
              <w:t>Approvers: Technical</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2.1.2</w:t>
              <w:br/>
              <w:t>—</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Meeting #2</w:t>
            </w:r>
          </w:p>
          <w:p>
            <w:pPr>
              <w:spacing w:after="0" w:line="245" w:lineRule="auto"/>
            </w:pPr>
            <w:r>
              <w:rPr>
                <w:rFonts w:ascii="Aptos" w:hAnsi="Aptos" w:eastAsia="Arial Unicode MS"/>
                <w:b w:val="0"/>
                <w:i/>
                <w:color w:val="5D6A7E"/>
                <w:sz w:val="12"/>
              </w:rPr>
              <w:t>Focus: Progress reviewed and scope refinements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Pathway</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 Pre-Con</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Evidence</w:t>
              <w:br/>
              <w:t>10 fields</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Technical / Sales</w:t>
            </w:r>
          </w:p>
          <w:p>
            <w:pPr>
              <w:spacing w:after="0" w:line="245" w:lineRule="auto"/>
            </w:pPr>
            <w:r>
              <w:rPr>
                <w:rFonts w:ascii="Aptos" w:hAnsi="Aptos" w:eastAsia="Arial Unicode MS"/>
                <w:b w:val="0"/>
                <w:i w:val="0"/>
                <w:color w:val="5D6A7E"/>
                <w:sz w:val="12"/>
              </w:rPr>
              <w:t>Approvers: Technical</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2.2</w:t>
              <w:br/>
              <w:t>NDA</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Non-Disclosure Agreement</w:t>
            </w:r>
          </w:p>
          <w:p>
            <w:pPr>
              <w:spacing w:after="0" w:line="245" w:lineRule="auto"/>
            </w:pPr>
            <w:r>
              <w:rPr>
                <w:rFonts w:ascii="Aptos" w:hAnsi="Aptos" w:eastAsia="Arial Unicode MS"/>
                <w:b w:val="0"/>
                <w:i/>
                <w:color w:val="5D6A7E"/>
                <w:sz w:val="12"/>
              </w:rPr>
              <w:t>Focus: Protected information and permitted disclosure</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Pathway</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 Pre-Con</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Agreement</w:t>
              <w:br/>
              <w:t>10 fields · signature</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Management / Legal</w:t>
            </w:r>
          </w:p>
          <w:p>
            <w:pPr>
              <w:spacing w:after="0" w:line="245" w:lineRule="auto"/>
            </w:pPr>
            <w:r>
              <w:rPr>
                <w:rFonts w:ascii="Aptos" w:hAnsi="Aptos" w:eastAsia="Arial Unicode MS"/>
                <w:b w:val="0"/>
                <w:i w:val="0"/>
                <w:color w:val="5D6A7E"/>
                <w:sz w:val="12"/>
              </w:rPr>
              <w:t>Approvers: Management, Client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2.3</w:t>
              <w:br/>
              <w:t>LOI</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Letter of Intent</w:t>
            </w:r>
          </w:p>
          <w:p>
            <w:pPr>
              <w:spacing w:after="0" w:line="245" w:lineRule="auto"/>
            </w:pPr>
            <w:r>
              <w:rPr>
                <w:rFonts w:ascii="Aptos" w:hAnsi="Aptos" w:eastAsia="Arial Unicode MS"/>
                <w:b w:val="0"/>
                <w:i/>
                <w:color w:val="5D6A7E"/>
                <w:sz w:val="12"/>
              </w:rPr>
              <w:t>Focus: Intent, limits, conversion trigger, and exclusions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Pathway</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 Pre-Con</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Agreement</w:t>
              <w:br/>
              <w:t>10 fields · signature · approval</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18–21</w:t>
              <w:br/>
              <w:t>S2.3 v250604</w:t>
            </w:r>
          </w:p>
          <w:p>
            <w:pPr>
              <w:spacing w:after="30" w:line="245" w:lineRule="auto"/>
            </w:pPr>
            <w:r>
              <w:rPr>
                <w:rFonts w:ascii="Aptos" w:hAnsi="Aptos" w:eastAsia="Arial Unicode MS"/>
                <w:b w:val="0"/>
                <w:i w:val="0"/>
                <w:color w:val="5D6A7E"/>
                <w:sz w:val="12"/>
              </w:rPr>
              <w:t>Owner: Sales / Management</w:t>
            </w:r>
          </w:p>
          <w:p>
            <w:pPr>
              <w:spacing w:after="0" w:line="245" w:lineRule="auto"/>
            </w:pPr>
            <w:r>
              <w:rPr>
                <w:rFonts w:ascii="Aptos" w:hAnsi="Aptos" w:eastAsia="Arial Unicode MS"/>
                <w:b w:val="0"/>
                <w:i w:val="0"/>
                <w:color w:val="5D6A7E"/>
                <w:sz w:val="12"/>
              </w:rPr>
              <w:t>Approvers: Management, Client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2.4</w:t>
              <w:br/>
              <w:t>FS</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Feasibility Study</w:t>
            </w:r>
          </w:p>
          <w:p>
            <w:pPr>
              <w:spacing w:after="0" w:line="245" w:lineRule="auto"/>
            </w:pPr>
            <w:r>
              <w:rPr>
                <w:rFonts w:ascii="Aptos" w:hAnsi="Aptos" w:eastAsia="Arial Unicode MS"/>
                <w:b w:val="0"/>
                <w:i/>
                <w:color w:val="5D6A7E"/>
                <w:sz w:val="12"/>
              </w:rPr>
              <w:t>Focus: Feasibility question and decision boundary</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Pathway</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 Pre-Con → G2</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Document</w:t>
              <w:br/>
              <w:t>10 fields</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22–27</w:t>
              <w:br/>
              <w:t>S2.4 v250604</w:t>
            </w:r>
          </w:p>
          <w:p>
            <w:pPr>
              <w:spacing w:after="30" w:line="245" w:lineRule="auto"/>
            </w:pPr>
            <w:r>
              <w:rPr>
                <w:rFonts w:ascii="Aptos" w:hAnsi="Aptos" w:eastAsia="Arial Unicode MS"/>
                <w:b w:val="0"/>
                <w:i w:val="0"/>
                <w:color w:val="5D6A7E"/>
                <w:sz w:val="12"/>
              </w:rPr>
              <w:t>Owner: Technical</w:t>
            </w:r>
          </w:p>
          <w:p>
            <w:pPr>
              <w:spacing w:after="0" w:line="245" w:lineRule="auto"/>
            </w:pPr>
            <w:r>
              <w:rPr>
                <w:rFonts w:ascii="Aptos" w:hAnsi="Aptos" w:eastAsia="Arial Unicode MS"/>
                <w:b w:val="0"/>
                <w:i w:val="0"/>
                <w:color w:val="5D6A7E"/>
                <w:sz w:val="12"/>
              </w:rPr>
              <w:t>Approvers: Technical, Management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2.5</w:t>
              <w:br/>
              <w:t>SA</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Sales Agreement</w:t>
            </w:r>
          </w:p>
          <w:p>
            <w:pPr>
              <w:spacing w:after="0" w:line="245" w:lineRule="auto"/>
            </w:pPr>
            <w:r>
              <w:rPr>
                <w:rFonts w:ascii="Aptos" w:hAnsi="Aptos" w:eastAsia="Arial Unicode MS"/>
                <w:b w:val="0"/>
                <w:i/>
                <w:color w:val="5D6A7E"/>
                <w:sz w:val="12"/>
              </w:rPr>
              <w:t>Focus: Contract scope, price basis, and key conditions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Pathway</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 G2 → Prod. Ready</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Agreement</w:t>
              <w:br/>
              <w:t>10 fields · signature · approval</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28–53</w:t>
              <w:br/>
              <w:t>S2.5 v250624</w:t>
            </w:r>
          </w:p>
          <w:p>
            <w:pPr>
              <w:spacing w:after="30" w:line="245" w:lineRule="auto"/>
            </w:pPr>
            <w:r>
              <w:rPr>
                <w:rFonts w:ascii="Aptos" w:hAnsi="Aptos" w:eastAsia="Arial Unicode MS"/>
                <w:b w:val="0"/>
                <w:i w:val="0"/>
                <w:color w:val="5D6A7E"/>
                <w:sz w:val="12"/>
              </w:rPr>
              <w:t>Owner: Sales / Management</w:t>
            </w:r>
          </w:p>
          <w:p>
            <w:pPr>
              <w:spacing w:after="0" w:line="245" w:lineRule="auto"/>
            </w:pPr>
            <w:r>
              <w:rPr>
                <w:rFonts w:ascii="Aptos" w:hAnsi="Aptos" w:eastAsia="Arial Unicode MS"/>
                <w:b w:val="0"/>
                <w:i w:val="0"/>
                <w:color w:val="5D6A7E"/>
                <w:sz w:val="12"/>
              </w:rPr>
              <w:t>Approvers: Management, Client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2.6</w:t>
              <w:br/>
              <w:t>EDAT</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Electronic Document Authorization &amp; Transfer</w:t>
            </w:r>
          </w:p>
          <w:p>
            <w:pPr>
              <w:spacing w:after="0" w:line="245" w:lineRule="auto"/>
            </w:pPr>
            <w:r>
              <w:rPr>
                <w:rFonts w:ascii="Aptos" w:hAnsi="Aptos" w:eastAsia="Arial Unicode MS"/>
                <w:b w:val="0"/>
                <w:i/>
                <w:color w:val="5D6A7E"/>
                <w:sz w:val="12"/>
              </w:rPr>
              <w:t>Focus: Authorized electronic document set and transfer method</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Pathway</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 Pre-Con → Prod. Ready</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Approval</w:t>
              <w:br/>
              <w:t>10 fields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54–56</w:t>
              <w:br/>
              <w:t>S2.6 v250409</w:t>
            </w:r>
          </w:p>
          <w:p>
            <w:pPr>
              <w:spacing w:after="30" w:line="245" w:lineRule="auto"/>
            </w:pPr>
            <w:r>
              <w:rPr>
                <w:rFonts w:ascii="Aptos" w:hAnsi="Aptos" w:eastAsia="Arial Unicode MS"/>
                <w:b w:val="0"/>
                <w:i w:val="0"/>
                <w:color w:val="5D6A7E"/>
                <w:sz w:val="12"/>
              </w:rPr>
              <w:t>Owner: Document Control</w:t>
            </w:r>
          </w:p>
          <w:p>
            <w:pPr>
              <w:spacing w:after="0" w:line="245" w:lineRule="auto"/>
            </w:pPr>
            <w:r>
              <w:rPr>
                <w:rFonts w:ascii="Aptos" w:hAnsi="Aptos" w:eastAsia="Arial Unicode MS"/>
                <w:b w:val="0"/>
                <w:i w:val="0"/>
                <w:color w:val="5D6A7E"/>
                <w:sz w:val="12"/>
              </w:rPr>
              <w:t>Approvers: Technical, Client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2.7</w:t>
              <w:br/>
              <w:t>PCS</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Pre-Construction Services</w:t>
            </w:r>
          </w:p>
          <w:p>
            <w:pPr>
              <w:spacing w:after="0" w:line="245" w:lineRule="auto"/>
            </w:pPr>
            <w:r>
              <w:rPr>
                <w:rFonts w:ascii="Aptos" w:hAnsi="Aptos" w:eastAsia="Arial Unicode MS"/>
                <w:b w:val="0"/>
                <w:i/>
                <w:color w:val="5D6A7E"/>
                <w:sz w:val="12"/>
              </w:rPr>
              <w:t>Focus: Authorized services, deliverables, fee basis, and limits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Pathway</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 Pre-Con → G2</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Agreement</w:t>
              <w:br/>
              <w:t>10 fields · signature · approval</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57–66</w:t>
              <w:br/>
              <w:t>S2.7 v250626</w:t>
            </w:r>
          </w:p>
          <w:p>
            <w:pPr>
              <w:spacing w:after="30" w:line="245" w:lineRule="auto"/>
            </w:pPr>
            <w:r>
              <w:rPr>
                <w:rFonts w:ascii="Aptos" w:hAnsi="Aptos" w:eastAsia="Arial Unicode MS"/>
                <w:b w:val="0"/>
                <w:i w:val="0"/>
                <w:color w:val="5D6A7E"/>
                <w:sz w:val="12"/>
              </w:rPr>
              <w:t>Owner: Technical / Project Management</w:t>
            </w:r>
          </w:p>
          <w:p>
            <w:pPr>
              <w:spacing w:after="0" w:line="245" w:lineRule="auto"/>
            </w:pPr>
            <w:r>
              <w:rPr>
                <w:rFonts w:ascii="Aptos" w:hAnsi="Aptos" w:eastAsia="Arial Unicode MS"/>
                <w:b w:val="0"/>
                <w:i w:val="0"/>
                <w:color w:val="5D6A7E"/>
                <w:sz w:val="12"/>
              </w:rPr>
              <w:t>Approvers: Technical, Management, Client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2.8</w:t>
              <w:br/>
              <w:t>PDAF</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Preliminary Design Approval Form</w:t>
            </w:r>
          </w:p>
          <w:p>
            <w:pPr>
              <w:spacing w:after="0" w:line="245" w:lineRule="auto"/>
            </w:pPr>
            <w:r>
              <w:rPr>
                <w:rFonts w:ascii="Aptos" w:hAnsi="Aptos" w:eastAsia="Arial Unicode MS"/>
                <w:b w:val="0"/>
                <w:i/>
                <w:color w:val="5D6A7E"/>
                <w:sz w:val="12"/>
              </w:rPr>
              <w:t>Focus: Design package, revision, assumptions, and exceptions</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Pre-Construction</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 → G2</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Approval</w:t>
              <w:br/>
              <w:t>10 fields · signature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67–69</w:t>
              <w:br/>
              <w:t>S2.8 v250409</w:t>
            </w:r>
          </w:p>
          <w:p>
            <w:pPr>
              <w:spacing w:after="30" w:line="245" w:lineRule="auto"/>
            </w:pPr>
            <w:r>
              <w:rPr>
                <w:rFonts w:ascii="Aptos" w:hAnsi="Aptos" w:eastAsia="Arial Unicode MS"/>
                <w:b w:val="0"/>
                <w:i w:val="0"/>
                <w:color w:val="5D6A7E"/>
                <w:sz w:val="12"/>
              </w:rPr>
              <w:t>Owner: Technical / Client</w:t>
            </w:r>
          </w:p>
          <w:p>
            <w:pPr>
              <w:spacing w:after="0" w:line="245" w:lineRule="auto"/>
            </w:pPr>
            <w:r>
              <w:rPr>
                <w:rFonts w:ascii="Aptos" w:hAnsi="Aptos" w:eastAsia="Arial Unicode MS"/>
                <w:b w:val="0"/>
                <w:i w:val="0"/>
                <w:color w:val="5D6A7E"/>
                <w:sz w:val="12"/>
              </w:rPr>
              <w:t>Approvers: Technical, Client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2.9</w:t>
              <w:br/>
              <w:t>SDR</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Site Discovery Report</w:t>
            </w:r>
          </w:p>
          <w:p>
            <w:pPr>
              <w:spacing w:after="0" w:line="245" w:lineRule="auto"/>
            </w:pPr>
            <w:r>
              <w:rPr>
                <w:rFonts w:ascii="Aptos" w:hAnsi="Aptos" w:eastAsia="Arial Unicode MS"/>
                <w:b w:val="0"/>
                <w:i/>
                <w:color w:val="5D6A7E"/>
                <w:sz w:val="12"/>
              </w:rPr>
              <w:t>Focus: Site observations, measurements, and constraints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Pre-Construction</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 → G2 → Delivery</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Evidence</w:t>
              <w:br/>
              <w:t>10 fields</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Technical / Site</w:t>
            </w:r>
          </w:p>
          <w:p>
            <w:pPr>
              <w:spacing w:after="0" w:line="245" w:lineRule="auto"/>
            </w:pPr>
            <w:r>
              <w:rPr>
                <w:rFonts w:ascii="Aptos" w:hAnsi="Aptos" w:eastAsia="Arial Unicode MS"/>
                <w:b w:val="0"/>
                <w:i w:val="0"/>
                <w:color w:val="5D6A7E"/>
                <w:sz w:val="12"/>
              </w:rPr>
              <w:t>Approvers: Technical</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2.10</w:t>
              <w:br/>
              <w:t>CEC</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Cost Estimate Classification: D, C, B, A</w:t>
            </w:r>
          </w:p>
          <w:p>
            <w:pPr>
              <w:spacing w:after="0" w:line="245" w:lineRule="auto"/>
            </w:pPr>
            <w:r>
              <w:rPr>
                <w:rFonts w:ascii="Aptos" w:hAnsi="Aptos" w:eastAsia="Arial Unicode MS"/>
                <w:b w:val="0"/>
                <w:i/>
                <w:color w:val="5D6A7E"/>
                <w:sz w:val="12"/>
              </w:rPr>
              <w:t>Focus: Estimate class, amount, scope basis, and maturity</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Pre-Construction</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Commercial → Pre-Con → G2 → Prod. Ready</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Document</w:t>
              <w:br/>
              <w:t>10 fields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70–103</w:t>
              <w:br/>
              <w:t>S2.10 v250528</w:t>
            </w:r>
          </w:p>
          <w:p>
            <w:pPr>
              <w:spacing w:after="30" w:line="245" w:lineRule="auto"/>
            </w:pPr>
            <w:r>
              <w:rPr>
                <w:rFonts w:ascii="Aptos" w:hAnsi="Aptos" w:eastAsia="Arial Unicode MS"/>
                <w:b w:val="0"/>
                <w:i w:val="0"/>
                <w:color w:val="5D6A7E"/>
                <w:sz w:val="12"/>
              </w:rPr>
              <w:t>Owner: Estimating / Technical</w:t>
            </w:r>
          </w:p>
          <w:p>
            <w:pPr>
              <w:spacing w:after="0" w:line="245" w:lineRule="auto"/>
            </w:pPr>
            <w:r>
              <w:rPr>
                <w:rFonts w:ascii="Aptos" w:hAnsi="Aptos" w:eastAsia="Arial Unicode MS"/>
                <w:b w:val="0"/>
                <w:i w:val="0"/>
                <w:color w:val="5D6A7E"/>
                <w:sz w:val="12"/>
              </w:rPr>
              <w:t>Approvers: Technical, Management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2.11</w:t>
              <w:br/>
              <w:t>RFI</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Request for Information</w:t>
            </w:r>
          </w:p>
          <w:p>
            <w:pPr>
              <w:spacing w:after="0" w:line="245" w:lineRule="auto"/>
            </w:pPr>
            <w:r>
              <w:rPr>
                <w:rFonts w:ascii="Aptos" w:hAnsi="Aptos" w:eastAsia="Arial Unicode MS"/>
                <w:b w:val="0"/>
                <w:i/>
                <w:color w:val="5D6A7E"/>
                <w:sz w:val="12"/>
              </w:rPr>
              <w:t>Focus: Question, drawing/specification reference, and impact</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Pre-Construction</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 → Prod. Ready → Factory → Delivery</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Triggered · Task</w:t>
              <w:br/>
              <w:t>10 fields</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104–105</w:t>
              <w:br/>
              <w:t>S2.11 v250409</w:t>
            </w:r>
          </w:p>
          <w:p>
            <w:pPr>
              <w:spacing w:after="30" w:line="245" w:lineRule="auto"/>
            </w:pPr>
            <w:r>
              <w:rPr>
                <w:rFonts w:ascii="Aptos" w:hAnsi="Aptos" w:eastAsia="Arial Unicode MS"/>
                <w:b w:val="0"/>
                <w:i w:val="0"/>
                <w:color w:val="5D6A7E"/>
                <w:sz w:val="12"/>
              </w:rPr>
              <w:t>Owner: Project Management / Technical</w:t>
            </w:r>
          </w:p>
          <w:p>
            <w:pPr>
              <w:spacing w:after="0" w:line="245" w:lineRule="auto"/>
            </w:pPr>
            <w:r>
              <w:rPr>
                <w:rFonts w:ascii="Aptos" w:hAnsi="Aptos" w:eastAsia="Arial Unicode MS"/>
                <w:b w:val="0"/>
                <w:i w:val="0"/>
                <w:color w:val="5D6A7E"/>
                <w:sz w:val="12"/>
              </w:rPr>
              <w:t>Approvers: Technical</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2.12</w:t>
              <w:br/>
              <w:t>SER</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Specification Exception Report</w:t>
            </w:r>
          </w:p>
          <w:p>
            <w:pPr>
              <w:spacing w:after="0" w:line="245" w:lineRule="auto"/>
            </w:pPr>
            <w:r>
              <w:rPr>
                <w:rFonts w:ascii="Aptos" w:hAnsi="Aptos" w:eastAsia="Arial Unicode MS"/>
                <w:b w:val="0"/>
                <w:i/>
                <w:color w:val="5D6A7E"/>
                <w:sz w:val="12"/>
              </w:rPr>
              <w:t>Focus: Specification exception, reason, and affected scope</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Pre-Construction</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 → Prod. Ready → Factory</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Triggered · Evidence</w:t>
              <w:br/>
              <w:t>10 fields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106–108</w:t>
              <w:br/>
              <w:t>S2.12 v250409</w:t>
            </w:r>
          </w:p>
          <w:p>
            <w:pPr>
              <w:spacing w:after="30" w:line="245" w:lineRule="auto"/>
            </w:pPr>
            <w:r>
              <w:rPr>
                <w:rFonts w:ascii="Aptos" w:hAnsi="Aptos" w:eastAsia="Arial Unicode MS"/>
                <w:b w:val="0"/>
                <w:i w:val="0"/>
                <w:color w:val="5D6A7E"/>
                <w:sz w:val="12"/>
              </w:rPr>
              <w:t>Owner: Technical / Quality</w:t>
            </w:r>
          </w:p>
          <w:p>
            <w:pPr>
              <w:spacing w:after="0" w:line="245" w:lineRule="auto"/>
            </w:pPr>
            <w:r>
              <w:rPr>
                <w:rFonts w:ascii="Aptos" w:hAnsi="Aptos" w:eastAsia="Arial Unicode MS"/>
                <w:b w:val="0"/>
                <w:i w:val="0"/>
                <w:color w:val="5D6A7E"/>
                <w:sz w:val="12"/>
              </w:rPr>
              <w:t>Approvers: Technical, Client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2.13</w:t>
              <w:br/>
              <w:t>SOW</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Scope of Work</w:t>
            </w:r>
          </w:p>
          <w:p>
            <w:pPr>
              <w:spacing w:after="0" w:line="245" w:lineRule="auto"/>
            </w:pPr>
            <w:r>
              <w:rPr>
                <w:rFonts w:ascii="Aptos" w:hAnsi="Aptos" w:eastAsia="Arial Unicode MS"/>
                <w:b w:val="0"/>
                <w:i/>
                <w:color w:val="5D6A7E"/>
                <w:sz w:val="12"/>
              </w:rPr>
              <w:t>Focus: Scope boundaries, interfaces, inclusions, and exclusions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Pre-Construction</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 → G2 → Prod. Ready → Delivery</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Document</w:t>
              <w:br/>
              <w:t>10 fields · approval</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109–113</w:t>
              <w:br/>
              <w:t>S2.12 v250626</w:t>
              <w:br/>
              <w:t>QA: The included form header is numbered S2.12 while the controlled index assigns 2.13.</w:t>
            </w:r>
          </w:p>
          <w:p>
            <w:pPr>
              <w:spacing w:after="30" w:line="245" w:lineRule="auto"/>
            </w:pPr>
            <w:r>
              <w:rPr>
                <w:rFonts w:ascii="Aptos" w:hAnsi="Aptos" w:eastAsia="Arial Unicode MS"/>
                <w:b w:val="0"/>
                <w:i w:val="0"/>
                <w:color w:val="5D6A7E"/>
                <w:sz w:val="12"/>
              </w:rPr>
              <w:t>Owner: Project Management / Technical</w:t>
            </w:r>
          </w:p>
          <w:p>
            <w:pPr>
              <w:spacing w:after="0" w:line="245" w:lineRule="auto"/>
            </w:pPr>
            <w:r>
              <w:rPr>
                <w:rFonts w:ascii="Aptos" w:hAnsi="Aptos" w:eastAsia="Arial Unicode MS"/>
                <w:b w:val="0"/>
                <w:i w:val="0"/>
                <w:color w:val="5D6A7E"/>
                <w:sz w:val="12"/>
              </w:rPr>
              <w:t>Approvers: Technical, Management, Client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2.13.1</w:t>
              <w:br/>
              <w:t>SMO</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Scope &amp; Modular Responsibility Overview</w:t>
            </w:r>
          </w:p>
          <w:p>
            <w:pPr>
              <w:spacing w:after="0" w:line="245" w:lineRule="auto"/>
            </w:pPr>
            <w:r>
              <w:rPr>
                <w:rFonts w:ascii="Aptos" w:hAnsi="Aptos" w:eastAsia="Arial Unicode MS"/>
                <w:b w:val="0"/>
                <w:i/>
                <w:color w:val="5D6A7E"/>
                <w:sz w:val="12"/>
              </w:rPr>
              <w:t>Focus: Delivery model, responsibility transfer, and interfaces</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Pre-Construction</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 → G2 → Delivery</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Supporting · Document</w:t>
              <w:br/>
              <w:t>10 fields</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Supplemental pp. 114–116</w:t>
              <w:br/>
              <w:t>S2.13.1 v260629</w:t>
              <w:br/>
              <w:t>QA: Present in the source package but omitted from the nine-page controlled index.</w:t>
            </w:r>
          </w:p>
          <w:p>
            <w:pPr>
              <w:spacing w:after="30" w:line="245" w:lineRule="auto"/>
            </w:pPr>
            <w:r>
              <w:rPr>
                <w:rFonts w:ascii="Aptos" w:hAnsi="Aptos" w:eastAsia="Arial Unicode MS"/>
                <w:b w:val="0"/>
                <w:i w:val="0"/>
                <w:color w:val="5D6A7E"/>
                <w:sz w:val="12"/>
              </w:rPr>
              <w:t>Owner: Technical / Project Management</w:t>
            </w:r>
          </w:p>
          <w:p>
            <w:pPr>
              <w:spacing w:after="0" w:line="245" w:lineRule="auto"/>
            </w:pPr>
            <w:r>
              <w:rPr>
                <w:rFonts w:ascii="Aptos" w:hAnsi="Aptos" w:eastAsia="Arial Unicode MS"/>
                <w:b w:val="0"/>
                <w:i w:val="0"/>
                <w:color w:val="5D6A7E"/>
                <w:sz w:val="12"/>
              </w:rPr>
              <w:t>Approvers: Technical, Management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2.14</w:t>
              <w:br/>
              <w:t>RM</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Responsibility Matrix</w:t>
            </w:r>
          </w:p>
          <w:p>
            <w:pPr>
              <w:spacing w:after="0" w:line="245" w:lineRule="auto"/>
            </w:pPr>
            <w:r>
              <w:rPr>
                <w:rFonts w:ascii="Aptos" w:hAnsi="Aptos" w:eastAsia="Arial Unicode MS"/>
                <w:b w:val="0"/>
                <w:i/>
                <w:color w:val="5D6A7E"/>
                <w:sz w:val="12"/>
              </w:rPr>
              <w:t>Focus: Core parties, scope lines, and unassigned interfaces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Pre-Construction</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 → G2 → Prod. Ready → Delivery → Warranty</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Document</w:t>
              <w:br/>
              <w:t>10 fields · approval</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117–149</w:t>
              <w:br/>
              <w:t>S2.14 v250716</w:t>
            </w:r>
          </w:p>
          <w:p>
            <w:pPr>
              <w:spacing w:after="30" w:line="245" w:lineRule="auto"/>
            </w:pPr>
            <w:r>
              <w:rPr>
                <w:rFonts w:ascii="Aptos" w:hAnsi="Aptos" w:eastAsia="Arial Unicode MS"/>
                <w:b w:val="0"/>
                <w:i w:val="0"/>
                <w:color w:val="5D6A7E"/>
                <w:sz w:val="12"/>
              </w:rPr>
              <w:t>Owner: Project Management</w:t>
            </w:r>
          </w:p>
          <w:p>
            <w:pPr>
              <w:spacing w:after="0" w:line="245" w:lineRule="auto"/>
            </w:pPr>
            <w:r>
              <w:rPr>
                <w:rFonts w:ascii="Aptos" w:hAnsi="Aptos" w:eastAsia="Arial Unicode MS"/>
                <w:b w:val="0"/>
                <w:i w:val="0"/>
                <w:color w:val="5D6A7E"/>
                <w:sz w:val="12"/>
              </w:rPr>
              <w:t>Approvers: Technical, Management, Client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2.15</w:t>
              <w:br/>
              <w:t>PSO</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Product Signoff Form</w:t>
            </w:r>
          </w:p>
          <w:p>
            <w:pPr>
              <w:spacing w:after="0" w:line="245" w:lineRule="auto"/>
            </w:pPr>
            <w:r>
              <w:rPr>
                <w:rFonts w:ascii="Aptos" w:hAnsi="Aptos" w:eastAsia="Arial Unicode MS"/>
                <w:b w:val="0"/>
                <w:i/>
                <w:color w:val="5D6A7E"/>
                <w:sz w:val="12"/>
              </w:rPr>
              <w:t>Focus: Products/materials, selections, substitutions, and revision</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Production Readiness</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 → Prod. Ready → G3</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Approval</w:t>
              <w:br/>
              <w:t>10 fields · signature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150–151</w:t>
              <w:br/>
              <w:t>S2.2 v250409</w:t>
              <w:br/>
              <w:t>QA: The included form header is numbered S2.2 while the controlled index assigns 2.15.</w:t>
            </w:r>
          </w:p>
          <w:p>
            <w:pPr>
              <w:spacing w:after="30" w:line="245" w:lineRule="auto"/>
            </w:pPr>
            <w:r>
              <w:rPr>
                <w:rFonts w:ascii="Aptos" w:hAnsi="Aptos" w:eastAsia="Arial Unicode MS"/>
                <w:b w:val="0"/>
                <w:i w:val="0"/>
                <w:color w:val="5D6A7E"/>
                <w:sz w:val="12"/>
              </w:rPr>
              <w:t>Owner: Technical / Client</w:t>
            </w:r>
          </w:p>
          <w:p>
            <w:pPr>
              <w:spacing w:after="0" w:line="245" w:lineRule="auto"/>
            </w:pPr>
            <w:r>
              <w:rPr>
                <w:rFonts w:ascii="Aptos" w:hAnsi="Aptos" w:eastAsia="Arial Unicode MS"/>
                <w:b w:val="0"/>
                <w:i w:val="0"/>
                <w:color w:val="5D6A7E"/>
                <w:sz w:val="12"/>
              </w:rPr>
              <w:t>Approvers: Technical, Management, Client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2.16</w:t>
              <w:br/>
              <w:t>PS</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Project Summary</w:t>
            </w:r>
          </w:p>
          <w:p>
            <w:pPr>
              <w:spacing w:after="0" w:line="245" w:lineRule="auto"/>
            </w:pPr>
            <w:r>
              <w:rPr>
                <w:rFonts w:ascii="Aptos" w:hAnsi="Aptos" w:eastAsia="Arial Unicode MS"/>
                <w:b w:val="0"/>
                <w:i/>
                <w:color w:val="5D6A7E"/>
                <w:sz w:val="12"/>
              </w:rPr>
              <w:t>Focus: Project goals, success criteria, and current baseline</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Pre-Construction</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 → Prod. Ready → Delivery → Final Close</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Supporting · Document</w:t>
              <w:br/>
              <w:t>10 fields</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152–154</w:t>
              <w:br/>
              <w:t>S2.16 v250409</w:t>
            </w:r>
          </w:p>
          <w:p>
            <w:pPr>
              <w:spacing w:after="30" w:line="245" w:lineRule="auto"/>
            </w:pPr>
            <w:r>
              <w:rPr>
                <w:rFonts w:ascii="Aptos" w:hAnsi="Aptos" w:eastAsia="Arial Unicode MS"/>
                <w:b w:val="0"/>
                <w:i w:val="0"/>
                <w:color w:val="5D6A7E"/>
                <w:sz w:val="12"/>
              </w:rPr>
              <w:t>Owner: Project Management</w:t>
            </w:r>
          </w:p>
          <w:p>
            <w:pPr>
              <w:spacing w:after="0" w:line="245" w:lineRule="auto"/>
            </w:pPr>
            <w:r>
              <w:rPr>
                <w:rFonts w:ascii="Aptos" w:hAnsi="Aptos" w:eastAsia="Arial Unicode MS"/>
                <w:b w:val="0"/>
                <w:i w:val="0"/>
                <w:color w:val="5D6A7E"/>
                <w:sz w:val="12"/>
              </w:rPr>
              <w:t>Approvers: Management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2.17</w:t>
              <w:br/>
              <w:t>CD</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Change Directive</w:t>
            </w:r>
          </w:p>
          <w:p>
            <w:pPr>
              <w:spacing w:after="0" w:line="245" w:lineRule="auto"/>
            </w:pPr>
            <w:r>
              <w:rPr>
                <w:rFonts w:ascii="Aptos" w:hAnsi="Aptos" w:eastAsia="Arial Unicode MS"/>
                <w:b w:val="0"/>
                <w:i/>
                <w:color w:val="5D6A7E"/>
                <w:sz w:val="12"/>
              </w:rPr>
              <w:t>Focus: Directed change, reason, affected scope, and interim authority</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Production Readiness</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 → Prod. Ready → Factory → Delivery</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Triggered · Approval</w:t>
              <w:br/>
              <w:t>10 fields · signature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155–157</w:t>
              <w:br/>
              <w:t>S2.17 v250416</w:t>
              <w:br/>
              <w:t>QA: The controlled index shows code DC; the included form header uses CD. CD is retained as the actual form code and the discrepancy is exposed.</w:t>
            </w:r>
          </w:p>
          <w:p>
            <w:pPr>
              <w:spacing w:after="30" w:line="245" w:lineRule="auto"/>
            </w:pPr>
            <w:r>
              <w:rPr>
                <w:rFonts w:ascii="Aptos" w:hAnsi="Aptos" w:eastAsia="Arial Unicode MS"/>
                <w:b w:val="0"/>
                <w:i w:val="0"/>
                <w:color w:val="5D6A7E"/>
                <w:sz w:val="12"/>
              </w:rPr>
              <w:t>Owner: Project Management</w:t>
            </w:r>
          </w:p>
          <w:p>
            <w:pPr>
              <w:spacing w:after="0" w:line="245" w:lineRule="auto"/>
            </w:pPr>
            <w:r>
              <w:rPr>
                <w:rFonts w:ascii="Aptos" w:hAnsi="Aptos" w:eastAsia="Arial Unicode MS"/>
                <w:b w:val="0"/>
                <w:i w:val="0"/>
                <w:color w:val="5D6A7E"/>
                <w:sz w:val="12"/>
              </w:rPr>
              <w:t>Approvers: Management, Client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2.18</w:t>
              <w:br/>
              <w:t>CO</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Change Order</w:t>
            </w:r>
          </w:p>
          <w:p>
            <w:pPr>
              <w:spacing w:after="0" w:line="245" w:lineRule="auto"/>
            </w:pPr>
            <w:r>
              <w:rPr>
                <w:rFonts w:ascii="Aptos" w:hAnsi="Aptos" w:eastAsia="Arial Unicode MS"/>
                <w:b w:val="0"/>
                <w:i/>
                <w:color w:val="5D6A7E"/>
                <w:sz w:val="12"/>
              </w:rPr>
              <w:t>Focus: Change description, price, schedule, and contract impact</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Production Readiness</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 → Prod. Ready → Factory → Delivery → Final Close</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Triggered · Agreement</w:t>
              <w:br/>
              <w:t>10 fields · signature · approval</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158–161</w:t>
              <w:br/>
              <w:t>S2.18 v250416</w:t>
            </w:r>
          </w:p>
          <w:p>
            <w:pPr>
              <w:spacing w:after="30" w:line="245" w:lineRule="auto"/>
            </w:pPr>
            <w:r>
              <w:rPr>
                <w:rFonts w:ascii="Aptos" w:hAnsi="Aptos" w:eastAsia="Arial Unicode MS"/>
                <w:b w:val="0"/>
                <w:i w:val="0"/>
                <w:color w:val="5D6A7E"/>
                <w:sz w:val="12"/>
              </w:rPr>
              <w:t>Owner: Project Management / Commercial</w:t>
            </w:r>
          </w:p>
          <w:p>
            <w:pPr>
              <w:spacing w:after="0" w:line="245" w:lineRule="auto"/>
            </w:pPr>
            <w:r>
              <w:rPr>
                <w:rFonts w:ascii="Aptos" w:hAnsi="Aptos" w:eastAsia="Arial Unicode MS"/>
                <w:b w:val="0"/>
                <w:i w:val="0"/>
                <w:color w:val="5D6A7E"/>
                <w:sz w:val="12"/>
              </w:rPr>
              <w:t>Approvers: Management, Client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2.18.1</w:t>
              <w:br/>
              <w:t>CT</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CD and CO Tracker</w:t>
            </w:r>
          </w:p>
          <w:p>
            <w:pPr>
              <w:spacing w:after="0" w:line="245" w:lineRule="auto"/>
            </w:pPr>
            <w:r>
              <w:rPr>
                <w:rFonts w:ascii="Aptos" w:hAnsi="Aptos" w:eastAsia="Arial Unicode MS"/>
                <w:b w:val="0"/>
                <w:i/>
                <w:color w:val="5D6A7E"/>
                <w:sz w:val="12"/>
              </w:rPr>
              <w:t>Focus: Change reference, type, scope, cost, and schedule impact</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Production Readiness</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 → Prod. Ready → Factory → Delivery → Final Close</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Triggered · Task</w:t>
              <w:br/>
              <w:t>10 fields</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162</w:t>
              <w:br/>
              <w:t>S2.18.1 v250409</w:t>
            </w:r>
          </w:p>
          <w:p>
            <w:pPr>
              <w:spacing w:after="30" w:line="245" w:lineRule="auto"/>
            </w:pPr>
            <w:r>
              <w:rPr>
                <w:rFonts w:ascii="Aptos" w:hAnsi="Aptos" w:eastAsia="Arial Unicode MS"/>
                <w:b w:val="0"/>
                <w:i w:val="0"/>
                <w:color w:val="5D6A7E"/>
                <w:sz w:val="12"/>
              </w:rPr>
              <w:t>Owner: Project Management / Process Coordinator</w:t>
            </w:r>
          </w:p>
          <w:p>
            <w:pPr>
              <w:spacing w:after="0" w:line="245" w:lineRule="auto"/>
            </w:pPr>
            <w:r>
              <w:rPr>
                <w:rFonts w:ascii="Aptos" w:hAnsi="Aptos" w:eastAsia="Arial Unicode MS"/>
                <w:b w:val="0"/>
                <w:i w:val="0"/>
                <w:color w:val="5D6A7E"/>
                <w:sz w:val="12"/>
              </w:rPr>
              <w:t>Approvers: Management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2.19</w:t>
              <w:br/>
              <w:t>ODN</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Occupancy Delay Notification</w:t>
            </w:r>
          </w:p>
          <w:p>
            <w:pPr>
              <w:spacing w:after="0" w:line="245" w:lineRule="auto"/>
            </w:pPr>
            <w:r>
              <w:rPr>
                <w:rFonts w:ascii="Aptos" w:hAnsi="Aptos" w:eastAsia="Arial Unicode MS"/>
                <w:b w:val="0"/>
                <w:i/>
                <w:color w:val="5D6A7E"/>
                <w:sz w:val="12"/>
              </w:rPr>
              <w:t>Focus: Delay cause, responsibility, evidence, and required cure</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Project Completion</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 → Prod. Ready → Delivery</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Triggered · Evidence</w:t>
              <w:br/>
              <w:t>10 fields · approval</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163–164</w:t>
              <w:br/>
              <w:t>S2.19 v250416</w:t>
            </w:r>
          </w:p>
          <w:p>
            <w:pPr>
              <w:spacing w:after="30" w:line="245" w:lineRule="auto"/>
            </w:pPr>
            <w:r>
              <w:rPr>
                <w:rFonts w:ascii="Aptos" w:hAnsi="Aptos" w:eastAsia="Arial Unicode MS"/>
                <w:b w:val="0"/>
                <w:i w:val="0"/>
                <w:color w:val="5D6A7E"/>
                <w:sz w:val="12"/>
              </w:rPr>
              <w:t>Owner: Project Management / Commercial</w:t>
            </w:r>
          </w:p>
          <w:p>
            <w:pPr>
              <w:spacing w:after="0" w:line="245" w:lineRule="auto"/>
            </w:pPr>
            <w:r>
              <w:rPr>
                <w:rFonts w:ascii="Aptos" w:hAnsi="Aptos" w:eastAsia="Arial Unicode MS"/>
                <w:b w:val="0"/>
                <w:i w:val="0"/>
                <w:color w:val="5D6A7E"/>
                <w:sz w:val="12"/>
              </w:rPr>
              <w:t>Approvers: Management, Client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3.1</w:t>
              <w:br/>
              <w:t>MPS</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Module Production Schedule</w:t>
            </w:r>
          </w:p>
          <w:p>
            <w:pPr>
              <w:spacing w:after="0" w:line="245" w:lineRule="auto"/>
            </w:pPr>
            <w:r>
              <w:rPr>
                <w:rFonts w:ascii="Aptos" w:hAnsi="Aptos" w:eastAsia="Arial Unicode MS"/>
                <w:b w:val="0"/>
                <w:i/>
                <w:color w:val="5D6A7E"/>
                <w:sz w:val="12"/>
              </w:rPr>
              <w:t>Focus: Module sequence, release dates, and production constraints</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Production Readiness</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Prod. Ready → G3 → Factory → G4</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Document</w:t>
              <w:br/>
              <w:t>10 fields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Factory Planning</w:t>
            </w:r>
          </w:p>
          <w:p>
            <w:pPr>
              <w:spacing w:after="0" w:line="245" w:lineRule="auto"/>
            </w:pPr>
            <w:r>
              <w:rPr>
                <w:rFonts w:ascii="Aptos" w:hAnsi="Aptos" w:eastAsia="Arial Unicode MS"/>
                <w:b w:val="0"/>
                <w:i w:val="0"/>
                <w:color w:val="5D6A7E"/>
                <w:sz w:val="12"/>
              </w:rPr>
              <w:t>Approvers: Factory, Project Management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3.2</w:t>
              <w:br/>
              <w:t>MQC</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Module Quality Control</w:t>
            </w:r>
          </w:p>
          <w:p>
            <w:pPr>
              <w:spacing w:after="0" w:line="245" w:lineRule="auto"/>
            </w:pPr>
            <w:r>
              <w:rPr>
                <w:rFonts w:ascii="Aptos" w:hAnsi="Aptos" w:eastAsia="Arial Unicode MS"/>
                <w:b w:val="0"/>
                <w:i/>
                <w:color w:val="5D6A7E"/>
                <w:sz w:val="12"/>
              </w:rPr>
              <w:t>Focus: Quality checkpoint, acceptance criteria, and evidence</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Factory Production</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Factory → G4</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Evidence</w:t>
              <w:br/>
              <w:t>10 fields · approval</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Factory Quality</w:t>
            </w:r>
          </w:p>
          <w:p>
            <w:pPr>
              <w:spacing w:after="0" w:line="245" w:lineRule="auto"/>
            </w:pPr>
            <w:r>
              <w:rPr>
                <w:rFonts w:ascii="Aptos" w:hAnsi="Aptos" w:eastAsia="Arial Unicode MS"/>
                <w:b w:val="0"/>
                <w:i w:val="0"/>
                <w:color w:val="5D6A7E"/>
                <w:sz w:val="12"/>
              </w:rPr>
              <w:t>Approvers: Factory, Quality</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3.3</w:t>
              <w:br/>
              <w:t>MIR</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Module Inspection Report</w:t>
            </w:r>
          </w:p>
          <w:p>
            <w:pPr>
              <w:spacing w:after="0" w:line="245" w:lineRule="auto"/>
            </w:pPr>
            <w:r>
              <w:rPr>
                <w:rFonts w:ascii="Aptos" w:hAnsi="Aptos" w:eastAsia="Arial Unicode MS"/>
                <w:b w:val="0"/>
                <w:i/>
                <w:color w:val="5D6A7E"/>
                <w:sz w:val="12"/>
              </w:rPr>
              <w:t>Focus: Module ID, inspection scope, deficiencies, and evidence</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Factory Production</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Factory → G4</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Evidence</w:t>
              <w:br/>
              <w:t>10 fields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Factory Quality</w:t>
            </w:r>
          </w:p>
          <w:p>
            <w:pPr>
              <w:spacing w:after="0" w:line="245" w:lineRule="auto"/>
            </w:pPr>
            <w:r>
              <w:rPr>
                <w:rFonts w:ascii="Aptos" w:hAnsi="Aptos" w:eastAsia="Arial Unicode MS"/>
                <w:b w:val="0"/>
                <w:i w:val="0"/>
                <w:color w:val="5D6A7E"/>
                <w:sz w:val="12"/>
              </w:rPr>
              <w:t>Approvers: Factory, Quality</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3.4</w:t>
              <w:br/>
              <w:t>TRR</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Transport Readiness Report</w:t>
            </w:r>
          </w:p>
          <w:p>
            <w:pPr>
              <w:spacing w:after="0" w:line="245" w:lineRule="auto"/>
            </w:pPr>
            <w:r>
              <w:rPr>
                <w:rFonts w:ascii="Aptos" w:hAnsi="Aptos" w:eastAsia="Arial Unicode MS"/>
                <w:b w:val="0"/>
                <w:i/>
                <w:color w:val="5D6A7E"/>
                <w:sz w:val="12"/>
              </w:rPr>
              <w:t>Focus: Module IDs, route, permits, protection, and release constraints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Factory Production</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Factory → G4 → Delivery</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Evidence</w:t>
              <w:br/>
              <w:t>10 fields · approval</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Logistics / Factory</w:t>
            </w:r>
          </w:p>
          <w:p>
            <w:pPr>
              <w:spacing w:after="0" w:line="245" w:lineRule="auto"/>
            </w:pPr>
            <w:r>
              <w:rPr>
                <w:rFonts w:ascii="Aptos" w:hAnsi="Aptos" w:eastAsia="Arial Unicode MS"/>
                <w:b w:val="0"/>
                <w:i w:val="0"/>
                <w:color w:val="5D6A7E"/>
                <w:sz w:val="12"/>
              </w:rPr>
              <w:t>Approvers: Factory, Project Management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3.5</w:t>
              <w:br/>
              <w:t>MSO</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Module Sign-Off</w:t>
            </w:r>
          </w:p>
          <w:p>
            <w:pPr>
              <w:spacing w:after="0" w:line="245" w:lineRule="auto"/>
            </w:pPr>
            <w:r>
              <w:rPr>
                <w:rFonts w:ascii="Aptos" w:hAnsi="Aptos" w:eastAsia="Arial Unicode MS"/>
                <w:b w:val="0"/>
                <w:i/>
                <w:color w:val="5D6A7E"/>
                <w:sz w:val="12"/>
              </w:rPr>
              <w:t>Focus: Module ID, inspection references, open punch items, and release decision</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G4 — Factory Completion / Release</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Factory → G4 → Delivery</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Approval</w:t>
              <w:br/>
              <w:t>10 fields · signature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165–167</w:t>
              <w:br/>
              <w:t>S3.5 v250409</w:t>
            </w:r>
          </w:p>
          <w:p>
            <w:pPr>
              <w:spacing w:after="30" w:line="245" w:lineRule="auto"/>
            </w:pPr>
            <w:r>
              <w:rPr>
                <w:rFonts w:ascii="Aptos" w:hAnsi="Aptos" w:eastAsia="Arial Unicode MS"/>
                <w:b w:val="0"/>
                <w:i w:val="0"/>
                <w:color w:val="5D6A7E"/>
                <w:sz w:val="12"/>
              </w:rPr>
              <w:t>Owner: Factory / Quality</w:t>
            </w:r>
          </w:p>
          <w:p>
            <w:pPr>
              <w:spacing w:after="0" w:line="245" w:lineRule="auto"/>
            </w:pPr>
            <w:r>
              <w:rPr>
                <w:rFonts w:ascii="Aptos" w:hAnsi="Aptos" w:eastAsia="Arial Unicode MS"/>
                <w:b w:val="0"/>
                <w:i w:val="0"/>
                <w:color w:val="5D6A7E"/>
                <w:sz w:val="12"/>
              </w:rPr>
              <w:t>Approvers: Factory, Technical, Client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4.1</w:t>
              <w:br/>
              <w:t>SSP</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Site Safety Plan</w:t>
            </w:r>
          </w:p>
          <w:p>
            <w:pPr>
              <w:spacing w:after="0" w:line="245" w:lineRule="auto"/>
            </w:pPr>
            <w:r>
              <w:rPr>
                <w:rFonts w:ascii="Aptos" w:hAnsi="Aptos" w:eastAsia="Arial Unicode MS"/>
                <w:b w:val="0"/>
                <w:i/>
                <w:color w:val="5D6A7E"/>
                <w:sz w:val="12"/>
              </w:rPr>
              <w:t>Focus: Site hazards, controls, access, and emergency arrangements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Project Completion</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G4 → Delivery</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Document</w:t>
              <w:br/>
              <w:t>10 fields · approval</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General Contractor / Site Safety</w:t>
            </w:r>
          </w:p>
          <w:p>
            <w:pPr>
              <w:spacing w:after="0" w:line="245" w:lineRule="auto"/>
            </w:pPr>
            <w:r>
              <w:rPr>
                <w:rFonts w:ascii="Aptos" w:hAnsi="Aptos" w:eastAsia="Arial Unicode MS"/>
                <w:b w:val="0"/>
                <w:i w:val="0"/>
                <w:color w:val="5D6A7E"/>
                <w:sz w:val="12"/>
              </w:rPr>
              <w:t>Approvers: Site, Management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4.2</w:t>
              <w:br/>
              <w:t>MDR</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Module Delivery and Receipt Form</w:t>
            </w:r>
          </w:p>
          <w:p>
            <w:pPr>
              <w:spacing w:after="0" w:line="245" w:lineRule="auto"/>
            </w:pPr>
            <w:r>
              <w:rPr>
                <w:rFonts w:ascii="Aptos" w:hAnsi="Aptos" w:eastAsia="Arial Unicode MS"/>
                <w:b w:val="0"/>
                <w:i/>
                <w:color w:val="5D6A7E"/>
                <w:sz w:val="12"/>
              </w:rPr>
              <w:t>Focus: Module IDs, carrier, delivery time, and received condition</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Project Completion</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G4 → Delivery</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Evidence</w:t>
              <w:br/>
              <w:t>10 fields · signature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Site / Logistics</w:t>
            </w:r>
          </w:p>
          <w:p>
            <w:pPr>
              <w:spacing w:after="0" w:line="245" w:lineRule="auto"/>
            </w:pPr>
            <w:r>
              <w:rPr>
                <w:rFonts w:ascii="Aptos" w:hAnsi="Aptos" w:eastAsia="Arial Unicode MS"/>
                <w:b w:val="0"/>
                <w:i w:val="0"/>
                <w:color w:val="5D6A7E"/>
                <w:sz w:val="12"/>
              </w:rPr>
              <w:t>Approvers: Site, Project Management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4.3</w:t>
              <w:br/>
              <w:t>MAI</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Module Assembly Instruction</w:t>
            </w:r>
          </w:p>
          <w:p>
            <w:pPr>
              <w:spacing w:after="0" w:line="245" w:lineRule="auto"/>
            </w:pPr>
            <w:r>
              <w:rPr>
                <w:rFonts w:ascii="Aptos" w:hAnsi="Aptos" w:eastAsia="Arial Unicode MS"/>
                <w:b w:val="0"/>
                <w:i/>
                <w:color w:val="5D6A7E"/>
                <w:sz w:val="12"/>
              </w:rPr>
              <w:t>Focus: Module type, assembly limits, interfaces, and hold points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Project Completion</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G4 → Delivery</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Supporting · Document</w:t>
              <w:br/>
              <w:t>10 fields</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Technical / Site</w:t>
            </w:r>
          </w:p>
          <w:p>
            <w:pPr>
              <w:spacing w:after="0" w:line="245" w:lineRule="auto"/>
            </w:pPr>
            <w:r>
              <w:rPr>
                <w:rFonts w:ascii="Aptos" w:hAnsi="Aptos" w:eastAsia="Arial Unicode MS"/>
                <w:b w:val="0"/>
                <w:i w:val="0"/>
                <w:color w:val="5D6A7E"/>
                <w:sz w:val="12"/>
              </w:rPr>
              <w:t>Approvers: Technical</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4.4</w:t>
              <w:br/>
              <w:t>MIC</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Module Installation Checklist</w:t>
            </w:r>
          </w:p>
          <w:p>
            <w:pPr>
              <w:spacing w:after="0" w:line="245" w:lineRule="auto"/>
            </w:pPr>
            <w:r>
              <w:rPr>
                <w:rFonts w:ascii="Aptos" w:hAnsi="Aptos" w:eastAsia="Arial Unicode MS"/>
                <w:b w:val="0"/>
                <w:i/>
                <w:color w:val="5D6A7E"/>
                <w:sz w:val="12"/>
              </w:rPr>
              <w:t>Focus: Module ID, installation sequence, hold points, and incomplete work</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Project Completion</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G5</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Evidence</w:t>
              <w:br/>
              <w:t>10 fields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Site / Technical</w:t>
            </w:r>
          </w:p>
          <w:p>
            <w:pPr>
              <w:spacing w:after="0" w:line="245" w:lineRule="auto"/>
            </w:pPr>
            <w:r>
              <w:rPr>
                <w:rFonts w:ascii="Aptos" w:hAnsi="Aptos" w:eastAsia="Arial Unicode MS"/>
                <w:b w:val="0"/>
                <w:i w:val="0"/>
                <w:color w:val="5D6A7E"/>
                <w:sz w:val="12"/>
              </w:rPr>
              <w:t>Approvers: Site, Technical</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4.5</w:t>
              <w:br/>
              <w:t>MSI</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Module Site Inspection Report</w:t>
            </w:r>
          </w:p>
          <w:p>
            <w:pPr>
              <w:spacing w:after="0" w:line="245" w:lineRule="auto"/>
            </w:pPr>
            <w:r>
              <w:rPr>
                <w:rFonts w:ascii="Aptos" w:hAnsi="Aptos" w:eastAsia="Arial Unicode MS"/>
                <w:b w:val="0"/>
                <w:i/>
                <w:color w:val="5D6A7E"/>
                <w:sz w:val="12"/>
              </w:rPr>
              <w:t>Focus: Module/site area, inspection criteria, deficiencies, and photos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Project Completion</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G5</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Evidence</w:t>
              <w:br/>
              <w:t>10 fields · approval</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Technical / Site Quality</w:t>
            </w:r>
          </w:p>
          <w:p>
            <w:pPr>
              <w:spacing w:after="0" w:line="245" w:lineRule="auto"/>
            </w:pPr>
            <w:r>
              <w:rPr>
                <w:rFonts w:ascii="Aptos" w:hAnsi="Aptos" w:eastAsia="Arial Unicode MS"/>
                <w:b w:val="0"/>
                <w:i w:val="0"/>
                <w:color w:val="5D6A7E"/>
                <w:sz w:val="12"/>
              </w:rPr>
              <w:t>Approvers: Technical, Site</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4.6</w:t>
              <w:br/>
              <w:t>MALR</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Module Alignment &amp; Leveling Report</w:t>
            </w:r>
          </w:p>
          <w:p>
            <w:pPr>
              <w:spacing w:after="0" w:line="245" w:lineRule="auto"/>
            </w:pPr>
            <w:r>
              <w:rPr>
                <w:rFonts w:ascii="Aptos" w:hAnsi="Aptos" w:eastAsia="Arial Unicode MS"/>
                <w:b w:val="0"/>
                <w:i/>
                <w:color w:val="5D6A7E"/>
                <w:sz w:val="12"/>
              </w:rPr>
              <w:t>Focus: Module grid, survey readings, tolerances, and corrections</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Project Completion</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G5</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Evidence</w:t>
              <w:br/>
              <w:t>10 fields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Site / Survey / Technical</w:t>
            </w:r>
          </w:p>
          <w:p>
            <w:pPr>
              <w:spacing w:after="0" w:line="245" w:lineRule="auto"/>
            </w:pPr>
            <w:r>
              <w:rPr>
                <w:rFonts w:ascii="Aptos" w:hAnsi="Aptos" w:eastAsia="Arial Unicode MS"/>
                <w:b w:val="0"/>
                <w:i w:val="0"/>
                <w:color w:val="5D6A7E"/>
                <w:sz w:val="12"/>
              </w:rPr>
              <w:t>Approvers: Technical, Site</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4.7</w:t>
              <w:br/>
              <w:t>WSVR</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Weatherproofing &amp; Seal Verification Report</w:t>
            </w:r>
          </w:p>
          <w:p>
            <w:pPr>
              <w:spacing w:after="0" w:line="245" w:lineRule="auto"/>
            </w:pPr>
            <w:r>
              <w:rPr>
                <w:rFonts w:ascii="Aptos" w:hAnsi="Aptos" w:eastAsia="Arial Unicode MS"/>
                <w:b w:val="0"/>
                <w:i/>
                <w:color w:val="5D6A7E"/>
                <w:sz w:val="12"/>
              </w:rPr>
              <w:t>Focus: Joints/areas inspected, test method, leakage, and corrective work</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Project Completion</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G5 → Warranty</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Evidence</w:t>
              <w:br/>
              <w:t>10 fields · approval</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Envelope / Site Quality</w:t>
            </w:r>
          </w:p>
          <w:p>
            <w:pPr>
              <w:spacing w:after="0" w:line="245" w:lineRule="auto"/>
            </w:pPr>
            <w:r>
              <w:rPr>
                <w:rFonts w:ascii="Aptos" w:hAnsi="Aptos" w:eastAsia="Arial Unicode MS"/>
                <w:b w:val="0"/>
                <w:i w:val="0"/>
                <w:color w:val="5D6A7E"/>
                <w:sz w:val="12"/>
              </w:rPr>
              <w:t>Approvers: Technical, Site</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4.8</w:t>
              <w:br/>
              <w:t>UCV</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Utility Connection Verification</w:t>
            </w:r>
          </w:p>
          <w:p>
            <w:pPr>
              <w:spacing w:after="0" w:line="245" w:lineRule="auto"/>
            </w:pPr>
            <w:r>
              <w:rPr>
                <w:rFonts w:ascii="Aptos" w:hAnsi="Aptos" w:eastAsia="Arial Unicode MS"/>
                <w:b w:val="0"/>
                <w:i/>
                <w:color w:val="5D6A7E"/>
                <w:sz w:val="12"/>
              </w:rPr>
              <w:t>Focus: Utility system, test result, authority, and outstanding work</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Project Completion</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G5 → Warranty</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Evidence</w:t>
              <w:br/>
              <w:t>10 fields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MEP / Site</w:t>
            </w:r>
          </w:p>
          <w:p>
            <w:pPr>
              <w:spacing w:after="0" w:line="245" w:lineRule="auto"/>
            </w:pPr>
            <w:r>
              <w:rPr>
                <w:rFonts w:ascii="Aptos" w:hAnsi="Aptos" w:eastAsia="Arial Unicode MS"/>
                <w:b w:val="0"/>
                <w:i w:val="0"/>
                <w:color w:val="5D6A7E"/>
                <w:sz w:val="12"/>
              </w:rPr>
              <w:t>Approvers: Technical, Site, Consultants</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4.9</w:t>
              <w:br/>
              <w:t>MDAR</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Module Damage Assessment Report</w:t>
            </w:r>
          </w:p>
          <w:p>
            <w:pPr>
              <w:spacing w:after="0" w:line="245" w:lineRule="auto"/>
            </w:pPr>
            <w:r>
              <w:rPr>
                <w:rFonts w:ascii="Aptos" w:hAnsi="Aptos" w:eastAsia="Arial Unicode MS"/>
                <w:b w:val="0"/>
                <w:i/>
                <w:color w:val="5D6A7E"/>
                <w:sz w:val="12"/>
              </w:rPr>
              <w:t>Focus: Module ID, damage location, cause, severity, and photos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Project Completion</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G4 → Delivery → Warranty</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Triggered · Evidence</w:t>
              <w:br/>
              <w:t>10 fields · approval</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168–172</w:t>
              <w:br/>
              <w:t>S4.9 v250409</w:t>
            </w:r>
          </w:p>
          <w:p>
            <w:pPr>
              <w:spacing w:after="30" w:line="245" w:lineRule="auto"/>
            </w:pPr>
            <w:r>
              <w:rPr>
                <w:rFonts w:ascii="Aptos" w:hAnsi="Aptos" w:eastAsia="Arial Unicode MS"/>
                <w:b w:val="0"/>
                <w:i w:val="0"/>
                <w:color w:val="5D6A7E"/>
                <w:sz w:val="12"/>
              </w:rPr>
              <w:t>Owner: Site / Quality / Logistics</w:t>
            </w:r>
          </w:p>
          <w:p>
            <w:pPr>
              <w:spacing w:after="0" w:line="245" w:lineRule="auto"/>
            </w:pPr>
            <w:r>
              <w:rPr>
                <w:rFonts w:ascii="Aptos" w:hAnsi="Aptos" w:eastAsia="Arial Unicode MS"/>
                <w:b w:val="0"/>
                <w:i w:val="0"/>
                <w:color w:val="5D6A7E"/>
                <w:sz w:val="12"/>
              </w:rPr>
              <w:t>Approvers: Technical, Management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4.10</w:t>
              <w:br/>
              <w:t>IRF</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Incident Report Form</w:t>
            </w:r>
          </w:p>
          <w:p>
            <w:pPr>
              <w:spacing w:after="0" w:line="245" w:lineRule="auto"/>
            </w:pPr>
            <w:r>
              <w:rPr>
                <w:rFonts w:ascii="Aptos" w:hAnsi="Aptos" w:eastAsia="Arial Unicode MS"/>
                <w:b w:val="0"/>
                <w:i/>
                <w:color w:val="5D6A7E"/>
                <w:sz w:val="12"/>
              </w:rPr>
              <w:t>Focus: Incident facts, location, persons, evidence, and immediate action</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Project Completion</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Factory → Delivery → Warranty</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Triggered · Evidence</w:t>
              <w:br/>
              <w:t>10 fields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Site Safety / Project Management</w:t>
            </w:r>
          </w:p>
          <w:p>
            <w:pPr>
              <w:spacing w:after="0" w:line="245" w:lineRule="auto"/>
            </w:pPr>
            <w:r>
              <w:rPr>
                <w:rFonts w:ascii="Aptos" w:hAnsi="Aptos" w:eastAsia="Arial Unicode MS"/>
                <w:b w:val="0"/>
                <w:i w:val="0"/>
                <w:color w:val="5D6A7E"/>
                <w:sz w:val="12"/>
              </w:rPr>
              <w:t>Approvers: Site, Management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4.10.1</w:t>
              <w:br/>
              <w:t>IRL</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Incident Response Log</w:t>
            </w:r>
          </w:p>
          <w:p>
            <w:pPr>
              <w:spacing w:after="0" w:line="245" w:lineRule="auto"/>
            </w:pPr>
            <w:r>
              <w:rPr>
                <w:rFonts w:ascii="Aptos" w:hAnsi="Aptos" w:eastAsia="Arial Unicode MS"/>
                <w:b w:val="0"/>
                <w:i/>
                <w:color w:val="5D6A7E"/>
                <w:sz w:val="12"/>
              </w:rPr>
              <w:t>Focus: Incident reference, response entry, evidence, and closure criterion</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Project Completion</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Factory → Delivery → Warranty → Final Close</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Triggered · Task</w:t>
              <w:br/>
              <w:t>10 fields</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Project Management / Safety</w:t>
            </w:r>
          </w:p>
          <w:p>
            <w:pPr>
              <w:spacing w:after="0" w:line="245" w:lineRule="auto"/>
            </w:pPr>
            <w:r>
              <w:rPr>
                <w:rFonts w:ascii="Aptos" w:hAnsi="Aptos" w:eastAsia="Arial Unicode MS"/>
                <w:b w:val="0"/>
                <w:i w:val="0"/>
                <w:color w:val="5D6A7E"/>
                <w:sz w:val="12"/>
              </w:rPr>
              <w:t>Approvers: Management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5.1</w:t>
              <w:br/>
              <w:t>DDSS</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Delegated Design Service Statement</w:t>
            </w:r>
          </w:p>
          <w:p>
            <w:pPr>
              <w:spacing w:after="0" w:line="245" w:lineRule="auto"/>
            </w:pPr>
            <w:r>
              <w:rPr>
                <w:rFonts w:ascii="Aptos" w:hAnsi="Aptos" w:eastAsia="Arial Unicode MS"/>
                <w:b w:val="0"/>
                <w:i/>
                <w:color w:val="5D6A7E"/>
                <w:sz w:val="12"/>
              </w:rPr>
              <w:t>Focus: Delegated discipline, party, scope, deliverable, and seal requirement</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Commissioning &amp; Warranty</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 → Prod. Ready → Delivery → Warranty</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Document</w:t>
              <w:br/>
              <w:t>10 fields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Technical / Consultants</w:t>
            </w:r>
          </w:p>
          <w:p>
            <w:pPr>
              <w:spacing w:after="0" w:line="245" w:lineRule="auto"/>
            </w:pPr>
            <w:r>
              <w:rPr>
                <w:rFonts w:ascii="Aptos" w:hAnsi="Aptos" w:eastAsia="Arial Unicode MS"/>
                <w:b w:val="0"/>
                <w:i w:val="0"/>
                <w:color w:val="5D6A7E"/>
                <w:sz w:val="12"/>
              </w:rPr>
              <w:t>Approvers: Technical, Consultants</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5.2</w:t>
              <w:br/>
              <w:t>MISS</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Module Installation Support Service</w:t>
            </w:r>
          </w:p>
          <w:p>
            <w:pPr>
              <w:spacing w:after="0" w:line="245" w:lineRule="auto"/>
            </w:pPr>
            <w:r>
              <w:rPr>
                <w:rFonts w:ascii="Aptos" w:hAnsi="Aptos" w:eastAsia="Arial Unicode MS"/>
                <w:b w:val="0"/>
                <w:i/>
                <w:color w:val="5D6A7E"/>
                <w:sz w:val="12"/>
              </w:rPr>
              <w:t>Focus: Installation issue, requested support, urgency, and boundaries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Commissioning &amp; Warranty</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Warranty</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Conditional · Task</w:t>
              <w:br/>
              <w:t>10 fields</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Technical Service</w:t>
            </w:r>
          </w:p>
          <w:p>
            <w:pPr>
              <w:spacing w:after="0" w:line="245" w:lineRule="auto"/>
            </w:pPr>
            <w:r>
              <w:rPr>
                <w:rFonts w:ascii="Aptos" w:hAnsi="Aptos" w:eastAsia="Arial Unicode MS"/>
                <w:b w:val="0"/>
                <w:i w:val="0"/>
                <w:color w:val="5D6A7E"/>
                <w:sz w:val="12"/>
              </w:rPr>
              <w:t>Approvers: Technical, Project Management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5.3</w:t>
              <w:br/>
              <w:t>DPLR</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Deficiency &amp; Punch List Report</w:t>
            </w:r>
          </w:p>
          <w:p>
            <w:pPr>
              <w:spacing w:after="0" w:line="245" w:lineRule="auto"/>
            </w:pPr>
            <w:r>
              <w:rPr>
                <w:rFonts w:ascii="Aptos" w:hAnsi="Aptos" w:eastAsia="Arial Unicode MS"/>
                <w:b w:val="0"/>
                <w:i/>
                <w:color w:val="5D6A7E"/>
                <w:sz w:val="12"/>
              </w:rPr>
              <w:t>Focus: Deficiency, location, responsibility, evidence, and acceptance criterion</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Project Completion</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G5 → Warranty → Final Close</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Task</w:t>
              <w:br/>
              <w:t>10 fields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Project Management / Site Quality</w:t>
            </w:r>
          </w:p>
          <w:p>
            <w:pPr>
              <w:spacing w:after="0" w:line="245" w:lineRule="auto"/>
            </w:pPr>
            <w:r>
              <w:rPr>
                <w:rFonts w:ascii="Aptos" w:hAnsi="Aptos" w:eastAsia="Arial Unicode MS"/>
                <w:b w:val="0"/>
                <w:i w:val="0"/>
                <w:color w:val="5D6A7E"/>
                <w:sz w:val="12"/>
              </w:rPr>
              <w:t>Approvers: Technical, Client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5.4</w:t>
              <w:br/>
              <w:t>FIR</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Final Inspection Report</w:t>
            </w:r>
          </w:p>
          <w:p>
            <w:pPr>
              <w:spacing w:after="0" w:line="245" w:lineRule="auto"/>
            </w:pPr>
            <w:r>
              <w:rPr>
                <w:rFonts w:ascii="Aptos" w:hAnsi="Aptos" w:eastAsia="Arial Unicode MS"/>
                <w:b w:val="0"/>
                <w:i/>
                <w:color w:val="5D6A7E"/>
                <w:sz w:val="12"/>
              </w:rPr>
              <w:t>Focus: Inspection scope, authority, accepted work, and residual deficiencies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Commissioning &amp; Warranty</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G5 → Warranty</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Evidence</w:t>
              <w:br/>
              <w:t>10 fields · approval</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Technical / Site Quality</w:t>
            </w:r>
          </w:p>
          <w:p>
            <w:pPr>
              <w:spacing w:after="0" w:line="245" w:lineRule="auto"/>
            </w:pPr>
            <w:r>
              <w:rPr>
                <w:rFonts w:ascii="Aptos" w:hAnsi="Aptos" w:eastAsia="Arial Unicode MS"/>
                <w:b w:val="0"/>
                <w:i w:val="0"/>
                <w:color w:val="5D6A7E"/>
                <w:sz w:val="12"/>
              </w:rPr>
              <w:t>Approvers: Technical, Client, Consultants</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5.5</w:t>
              <w:br/>
              <w:t>WMA</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Warranty &amp; Maintenance Agreement</w:t>
            </w:r>
          </w:p>
          <w:p>
            <w:pPr>
              <w:spacing w:after="0" w:line="245" w:lineRule="auto"/>
            </w:pPr>
            <w:r>
              <w:rPr>
                <w:rFonts w:ascii="Aptos" w:hAnsi="Aptos" w:eastAsia="Arial Unicode MS"/>
                <w:b w:val="0"/>
                <w:i/>
                <w:color w:val="5D6A7E"/>
                <w:sz w:val="12"/>
              </w:rPr>
              <w:t>Focus: Warranty start, coverage, exclusions, maintenance, and claim route</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Commissioning &amp; Warranty</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G5 → Warranty → Final Close</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Agreement</w:t>
              <w:br/>
              <w:t>10 fields · signature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Included pp. 173–178</w:t>
              <w:br/>
              <w:t>S2.5 v250409</w:t>
              <w:br/>
              <w:t>QA: The included form header is numbered S2.5 while the controlled index assigns 5.5.</w:t>
            </w:r>
          </w:p>
          <w:p>
            <w:pPr>
              <w:spacing w:after="30" w:line="245" w:lineRule="auto"/>
            </w:pPr>
            <w:r>
              <w:rPr>
                <w:rFonts w:ascii="Aptos" w:hAnsi="Aptos" w:eastAsia="Arial Unicode MS"/>
                <w:b w:val="0"/>
                <w:i w:val="0"/>
                <w:color w:val="5D6A7E"/>
                <w:sz w:val="12"/>
              </w:rPr>
              <w:t>Owner: Warranty / Management</w:t>
            </w:r>
          </w:p>
          <w:p>
            <w:pPr>
              <w:spacing w:after="0" w:line="245" w:lineRule="auto"/>
            </w:pPr>
            <w:r>
              <w:rPr>
                <w:rFonts w:ascii="Aptos" w:hAnsi="Aptos" w:eastAsia="Arial Unicode MS"/>
                <w:b w:val="0"/>
                <w:i w:val="0"/>
                <w:color w:val="5D6A7E"/>
                <w:sz w:val="12"/>
              </w:rPr>
              <w:t>Approvers: Management, Client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5.6</w:t>
              <w:br/>
              <w:t>PCR</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Project Closeout Report</w:t>
            </w:r>
          </w:p>
          <w:p>
            <w:pPr>
              <w:spacing w:after="0" w:line="245" w:lineRule="auto"/>
            </w:pPr>
            <w:r>
              <w:rPr>
                <w:rFonts w:ascii="Aptos" w:hAnsi="Aptos" w:eastAsia="Arial Unicode MS"/>
                <w:b w:val="0"/>
                <w:i/>
                <w:color w:val="5D6A7E"/>
                <w:sz w:val="12"/>
              </w:rPr>
              <w:t>Focus: Completion basis, lessons learned, and final unresolved obligations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Final Close</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Warranty → Final Close</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Document</w:t>
              <w:br/>
              <w:t>10 fields · approval</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Project Management</w:t>
            </w:r>
          </w:p>
          <w:p>
            <w:pPr>
              <w:spacing w:after="0" w:line="245" w:lineRule="auto"/>
            </w:pPr>
            <w:r>
              <w:rPr>
                <w:rFonts w:ascii="Aptos" w:hAnsi="Aptos" w:eastAsia="Arial Unicode MS"/>
                <w:b w:val="0"/>
                <w:i w:val="0"/>
                <w:color w:val="5D6A7E"/>
                <w:sz w:val="12"/>
              </w:rPr>
              <w:t>Approvers: Management, Client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5.7</w:t>
              <w:br/>
              <w:t>ABDP</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As-Built Documentation Package</w:t>
            </w:r>
          </w:p>
          <w:p>
            <w:pPr>
              <w:spacing w:after="0" w:line="245" w:lineRule="auto"/>
            </w:pPr>
            <w:r>
              <w:rPr>
                <w:rFonts w:ascii="Aptos" w:hAnsi="Aptos" w:eastAsia="Arial Unicode MS"/>
                <w:b w:val="0"/>
                <w:i/>
                <w:color w:val="5D6A7E"/>
                <w:sz w:val="12"/>
              </w:rPr>
              <w:t>Focus: As-built disciplines, revision status, deviations, and completeness</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Commissioning &amp; Warranty</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Delivery → Warranty → Final Close</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Document</w:t>
              <w:br/>
              <w:t>10 fields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Document Control / Technical</w:t>
            </w:r>
          </w:p>
          <w:p>
            <w:pPr>
              <w:spacing w:after="0" w:line="245" w:lineRule="auto"/>
            </w:pPr>
            <w:r>
              <w:rPr>
                <w:rFonts w:ascii="Aptos" w:hAnsi="Aptos" w:eastAsia="Arial Unicode MS"/>
                <w:b w:val="0"/>
                <w:i w:val="0"/>
                <w:color w:val="5D6A7E"/>
                <w:sz w:val="12"/>
              </w:rPr>
              <w:t>Approvers: Technical, Client, Consultants</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5.8</w:t>
              <w:br/>
              <w:t>CSHF</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Client Satisfaction &amp; Handover Form</w:t>
            </w:r>
          </w:p>
          <w:p>
            <w:pPr>
              <w:spacing w:after="0" w:line="245" w:lineRule="auto"/>
            </w:pPr>
            <w:r>
              <w:rPr>
                <w:rFonts w:ascii="Aptos" w:hAnsi="Aptos" w:eastAsia="Arial Unicode MS"/>
                <w:b w:val="0"/>
                <w:i/>
                <w:color w:val="5D6A7E"/>
                <w:sz w:val="12"/>
              </w:rPr>
              <w:t>Focus: Handover package, training, satisfaction, and reservations</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Commissioning &amp; Warranty</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G5 → Warranty → Final Close</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Required · Approval</w:t>
              <w:br/>
              <w:t>10 fields · signature · approval</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Project Management / Client</w:t>
            </w:r>
          </w:p>
          <w:p>
            <w:pPr>
              <w:spacing w:after="0" w:line="245" w:lineRule="auto"/>
            </w:pPr>
            <w:r>
              <w:rPr>
                <w:rFonts w:ascii="Aptos" w:hAnsi="Aptos" w:eastAsia="Arial Unicode MS"/>
                <w:b w:val="0"/>
                <w:i w:val="0"/>
                <w:color w:val="5D6A7E"/>
                <w:sz w:val="12"/>
              </w:rPr>
              <w:t>Approvers: Management, Client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5.9</w:t>
              <w:br/>
              <w:t>PMRF</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Photography &amp; Media Release Form</w:t>
            </w:r>
          </w:p>
          <w:p>
            <w:pPr>
              <w:spacing w:after="0" w:line="245" w:lineRule="auto"/>
            </w:pPr>
            <w:r>
              <w:rPr>
                <w:rFonts w:ascii="Aptos" w:hAnsi="Aptos" w:eastAsia="Arial Unicode MS"/>
                <w:b w:val="0"/>
                <w:i/>
                <w:color w:val="5D6A7E"/>
                <w:sz w:val="12"/>
              </w:rPr>
              <w:t>Focus: Media assets, permitted uses, restrictions, and expiry</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Final Close</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Warranty → Final Close</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Optional · Approval</w:t>
              <w:br/>
              <w:t>10 fields · signature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Marketing / Client</w:t>
            </w:r>
          </w:p>
          <w:p>
            <w:pPr>
              <w:spacing w:after="0" w:line="245" w:lineRule="auto"/>
            </w:pPr>
            <w:r>
              <w:rPr>
                <w:rFonts w:ascii="Aptos" w:hAnsi="Aptos" w:eastAsia="Arial Unicode MS"/>
                <w:b w:val="0"/>
                <w:i w:val="0"/>
                <w:color w:val="5D6A7E"/>
                <w:sz w:val="12"/>
              </w:rPr>
              <w:t>Approvers: Management, Client</w:t>
            </w:r>
          </w:p>
        </w:tc>
      </w:tr>
      <w:tr>
        <w:trPr>
          <w:cantSplit/>
        </w:trPr>
        <w:tc>
          <w:tcPr>
            <w:tcW w:type="dxa" w:w="1008"/>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5.10</w:t>
              <w:br/>
              <w:t>NOC</w:t>
            </w:r>
          </w:p>
        </w:tc>
        <w:tc>
          <w:tcPr>
            <w:tcW w:type="dxa" w:w="3384"/>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Notice of Concern</w:t>
            </w:r>
          </w:p>
          <w:p>
            <w:pPr>
              <w:spacing w:after="0" w:line="245" w:lineRule="auto"/>
            </w:pPr>
            <w:r>
              <w:rPr>
                <w:rFonts w:ascii="Aptos" w:hAnsi="Aptos" w:eastAsia="Arial Unicode MS"/>
                <w:b w:val="0"/>
                <w:i/>
                <w:color w:val="5D6A7E"/>
                <w:sz w:val="12"/>
              </w:rPr>
              <w:t>Focus: Concern, facts, contract reference, requested remedy, and urgency</w:t>
            </w:r>
          </w:p>
        </w:tc>
        <w:tc>
          <w:tcPr>
            <w:tcW w:type="dxa" w:w="2232"/>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Final Close</w:t>
            </w:r>
          </w:p>
        </w:tc>
        <w:tc>
          <w:tcPr>
            <w:tcW w:type="dxa" w:w="2880"/>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 → Factory → Delivery → Warranty → Final Close</w:t>
            </w:r>
          </w:p>
        </w:tc>
        <w:tc>
          <w:tcPr>
            <w:tcW w:type="dxa" w:w="2016"/>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Triggered · Task</w:t>
              <w:br/>
              <w:t>10 fields</w:t>
            </w:r>
          </w:p>
        </w:tc>
        <w:tc>
          <w:tcPr>
            <w:tcW w:type="dxa" w:w="2880"/>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Client / Project Management</w:t>
            </w:r>
          </w:p>
          <w:p>
            <w:pPr>
              <w:spacing w:after="0" w:line="245" w:lineRule="auto"/>
            </w:pPr>
            <w:r>
              <w:rPr>
                <w:rFonts w:ascii="Aptos" w:hAnsi="Aptos" w:eastAsia="Arial Unicode MS"/>
                <w:b w:val="0"/>
                <w:i w:val="0"/>
                <w:color w:val="5D6A7E"/>
                <w:sz w:val="12"/>
              </w:rPr>
              <w:t>Approvers: Client</w:t>
            </w:r>
          </w:p>
        </w:tc>
      </w:tr>
      <w:tr>
        <w:trPr>
          <w:cantSplit/>
        </w:trPr>
        <w:tc>
          <w:tcPr>
            <w:tcW w:type="dxa" w:w="10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5.11</w:t>
              <w:br/>
              <w:t>RNOC</w:t>
            </w:r>
          </w:p>
        </w:tc>
        <w:tc>
          <w:tcPr>
            <w:tcW w:type="dxa" w:w="3384"/>
            <w:shd w:fill="F5F7FA"/>
            <w:tcMar>
              <w:top w:w="65" w:type="dxa"/>
              <w:start w:w="80" w:type="dxa"/>
              <w:bottom w:w="65" w:type="dxa"/>
              <w:end w:w="80" w:type="dxa"/>
            </w:tcMar>
            <w:vAlign w:val="top"/>
          </w:tcPr>
          <w:p>
            <w:pPr>
              <w:spacing w:after="30" w:line="245" w:lineRule="auto"/>
            </w:pPr>
            <w:r/>
            <w:r>
              <w:rPr>
                <w:rFonts w:ascii="Aptos" w:hAnsi="Aptos" w:eastAsia="Arial Unicode MS"/>
                <w:b/>
                <w:i w:val="0"/>
                <w:color w:val="172033"/>
                <w:sz w:val="12"/>
              </w:rPr>
              <w:t>Response to Notice of Concern</w:t>
            </w:r>
          </w:p>
          <w:p>
            <w:pPr>
              <w:spacing w:after="0" w:line="245" w:lineRule="auto"/>
            </w:pPr>
            <w:r>
              <w:rPr>
                <w:rFonts w:ascii="Aptos" w:hAnsi="Aptos" w:eastAsia="Arial Unicode MS"/>
                <w:b w:val="0"/>
                <w:i/>
                <w:color w:val="5D6A7E"/>
                <w:sz w:val="12"/>
              </w:rPr>
              <w:t>Focus: NOC reference, response position, corrective plan, and closure evidence</w:t>
            </w:r>
          </w:p>
        </w:tc>
        <w:tc>
          <w:tcPr>
            <w:tcW w:type="dxa" w:w="22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Final Close</w:t>
            </w:r>
          </w:p>
        </w:tc>
        <w:tc>
          <w:tcPr>
            <w:tcW w:type="dxa" w:w="288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Pre-Con → Factory → Delivery → Warranty → Final Close</w:t>
            </w:r>
          </w:p>
        </w:tc>
        <w:tc>
          <w:tcPr>
            <w:tcW w:type="dxa" w:w="201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2"/>
              </w:rPr>
              <w:t>Triggered · Task</w:t>
              <w:br/>
              <w:t>10 fields · approval</w:t>
            </w:r>
          </w:p>
        </w:tc>
        <w:tc>
          <w:tcPr>
            <w:tcW w:type="dxa" w:w="2880"/>
            <w:shd w:fill="F5F7FA"/>
            <w:tcMar>
              <w:top w:w="65" w:type="dxa"/>
              <w:start w:w="80" w:type="dxa"/>
              <w:bottom w:w="65" w:type="dxa"/>
              <w:end w:w="80" w:type="dxa"/>
            </w:tcMar>
            <w:vAlign w:val="top"/>
          </w:tcPr>
          <w:p>
            <w:pPr>
              <w:spacing w:after="30" w:line="245" w:lineRule="auto"/>
            </w:pPr>
            <w:r/>
            <w:r>
              <w:rPr>
                <w:rFonts w:ascii="Aptos" w:hAnsi="Aptos" w:eastAsia="Arial Unicode MS"/>
                <w:b w:val="0"/>
                <w:i w:val="0"/>
                <w:color w:val="172033"/>
                <w:sz w:val="12"/>
              </w:rPr>
              <w:t>Index Only</w:t>
            </w:r>
          </w:p>
          <w:p>
            <w:pPr>
              <w:spacing w:after="30" w:line="245" w:lineRule="auto"/>
            </w:pPr>
            <w:r>
              <w:rPr>
                <w:rFonts w:ascii="Aptos" w:hAnsi="Aptos" w:eastAsia="Arial Unicode MS"/>
                <w:b w:val="0"/>
                <w:i w:val="0"/>
                <w:color w:val="5D6A7E"/>
                <w:sz w:val="12"/>
              </w:rPr>
              <w:t>Owner: Project Management / Management</w:t>
            </w:r>
          </w:p>
          <w:p>
            <w:pPr>
              <w:spacing w:after="0" w:line="245" w:lineRule="auto"/>
            </w:pPr>
            <w:r>
              <w:rPr>
                <w:rFonts w:ascii="Aptos" w:hAnsi="Aptos" w:eastAsia="Arial Unicode MS"/>
                <w:b w:val="0"/>
                <w:i w:val="0"/>
                <w:color w:val="5D6A7E"/>
                <w:sz w:val="12"/>
              </w:rPr>
              <w:t>Approvers: Management, Client</w:t>
            </w:r>
          </w:p>
        </w:tc>
      </w:tr>
    </w:tbl>
    <w:p>
      <w:pPr>
        <w:sectPr>
          <w:pgSz w:w="15840" w:h="12240" w:orient="landscape"/>
          <w:pgMar w:top="648" w:right="691" w:bottom="691" w:left="691" w:header="360" w:footer="360" w:gutter="0"/>
          <w:cols w:space="720"/>
          <w:docGrid w:linePitch="360"/>
        </w:sectPr>
      </w:pPr>
    </w:p>
    <w:p>
      <w:pPr>
        <w:keepNext/>
        <w:spacing w:after="60"/>
      </w:pPr>
      <w:r>
        <w:rPr>
          <w:rFonts w:ascii="Aptos" w:hAnsi="Aptos" w:eastAsia="Arial Unicode MS"/>
          <w:b/>
          <w:color w:val="159A85"/>
          <w:sz w:val="16"/>
        </w:rPr>
        <w:t>05 / L3 MATRICES &amp; RELEASE CONTROLS</w:t>
      </w:r>
    </w:p>
    <w:p>
      <w:pPr>
        <w:pStyle w:val="Heading1"/>
      </w:pPr>
      <w:r>
        <w:t>Matrices connect documents to accountable roles</w:t>
      </w:r>
    </w:p>
    <w:tbl>
      <w:tblPr>
        <w:tblStyle w:val="TableGrid"/>
        <w:tblW w:type="auto" w:w="0"/>
        <w:jc w:val="center"/>
        <w:tblLook w:firstColumn="1" w:firstRow="1" w:lastColumn="0" w:lastRow="0" w:noHBand="0" w:noVBand="1" w:val="04A0"/>
        <w:tblLayout w:type="fixed"/>
      </w:tblPr>
      <w:tblGrid>
        <w:gridCol w:w="2570"/>
        <w:gridCol w:w="2570"/>
        <w:gridCol w:w="2570"/>
        <w:gridCol w:w="2570"/>
      </w:tblGrid>
      <w:tr>
        <w:trPr>
          <w:tblHeader w:val="true"/>
          <w:cantSplit/>
        </w:trPr>
        <w:tc>
          <w:tcPr>
            <w:tcW w:type="dxa" w:w="2448"/>
            <w:shd w:fill="6653A6"/>
            <w:tcMar>
              <w:top w:w="80" w:type="dxa"/>
              <w:start w:w="90" w:type="dxa"/>
              <w:bottom w:w="80" w:type="dxa"/>
              <w:end w:w="90" w:type="dxa"/>
            </w:tcMar>
            <w:vAlign w:val="center"/>
          </w:tcPr>
          <w:p>
            <w:pPr>
              <w:spacing w:after="0"/>
              <w:jc w:val="left"/>
            </w:pPr>
            <w:r/>
            <w:r>
              <w:rPr>
                <w:rFonts w:ascii="Aptos" w:hAnsi="Aptos" w:eastAsia="Arial Unicode MS"/>
                <w:b/>
                <w:color w:val="FFFFFF"/>
                <w:sz w:val="14"/>
              </w:rPr>
              <w:t>Matrix</w:t>
            </w:r>
          </w:p>
        </w:tc>
        <w:tc>
          <w:tcPr>
            <w:tcW w:type="dxa" w:w="936"/>
            <w:shd w:fill="6653A6"/>
            <w:tcMar>
              <w:top w:w="80" w:type="dxa"/>
              <w:start w:w="90" w:type="dxa"/>
              <w:bottom w:w="80" w:type="dxa"/>
              <w:end w:w="90" w:type="dxa"/>
            </w:tcMar>
            <w:vAlign w:val="center"/>
          </w:tcPr>
          <w:p>
            <w:pPr>
              <w:spacing w:after="0"/>
              <w:jc w:val="left"/>
            </w:pPr>
            <w:r/>
            <w:r>
              <w:rPr>
                <w:rFonts w:ascii="Aptos" w:hAnsi="Aptos" w:eastAsia="Arial Unicode MS"/>
                <w:b/>
                <w:color w:val="FFFFFF"/>
                <w:sz w:val="14"/>
              </w:rPr>
              <w:t>Size</w:t>
            </w:r>
          </w:p>
        </w:tc>
        <w:tc>
          <w:tcPr>
            <w:tcW w:type="dxa" w:w="3600"/>
            <w:shd w:fill="6653A6"/>
            <w:tcMar>
              <w:top w:w="80" w:type="dxa"/>
              <w:start w:w="90" w:type="dxa"/>
              <w:bottom w:w="80" w:type="dxa"/>
              <w:end w:w="90" w:type="dxa"/>
            </w:tcMar>
            <w:vAlign w:val="center"/>
          </w:tcPr>
          <w:p>
            <w:pPr>
              <w:spacing w:after="0"/>
              <w:jc w:val="left"/>
            </w:pPr>
            <w:r/>
            <w:r>
              <w:rPr>
                <w:rFonts w:ascii="Aptos" w:hAnsi="Aptos" w:eastAsia="Arial Unicode MS"/>
                <w:b/>
                <w:color w:val="FFFFFF"/>
                <w:sz w:val="14"/>
              </w:rPr>
              <w:t>Columns</w:t>
            </w:r>
          </w:p>
        </w:tc>
        <w:tc>
          <w:tcPr>
            <w:tcW w:type="dxa" w:w="2808"/>
            <w:shd w:fill="6653A6"/>
            <w:tcMar>
              <w:top w:w="80" w:type="dxa"/>
              <w:start w:w="90" w:type="dxa"/>
              <w:bottom w:w="80" w:type="dxa"/>
              <w:end w:w="90" w:type="dxa"/>
            </w:tcMar>
            <w:vAlign w:val="center"/>
          </w:tcPr>
          <w:p>
            <w:pPr>
              <w:spacing w:after="0"/>
              <w:jc w:val="left"/>
            </w:pPr>
            <w:r/>
            <w:r>
              <w:rPr>
                <w:rFonts w:ascii="Aptos" w:hAnsi="Aptos" w:eastAsia="Arial Unicode MS"/>
                <w:b/>
                <w:color w:val="FFFFFF"/>
                <w:sz w:val="14"/>
              </w:rPr>
              <w:t>Purpose</w:t>
            </w:r>
          </w:p>
        </w:tc>
      </w:tr>
      <w:tr>
        <w:trPr>
          <w:cantSplit/>
        </w:trPr>
        <w:tc>
          <w:tcPr>
            <w:tcW w:type="dxa" w:w="2448"/>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Approval Matrix — Forms &amp; Actions</w:t>
            </w:r>
          </w:p>
        </w:tc>
        <w:tc>
          <w:tcPr>
            <w:tcW w:type="dxa" w:w="93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57 rows</w:t>
            </w:r>
          </w:p>
        </w:tc>
        <w:tc>
          <w:tcPr>
            <w:tcW w:type="dxa" w:w="360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Sales; Technical; Project Mgmt; Factory/Site; Management; Client/Consultants</w:t>
            </w:r>
          </w:p>
        </w:tc>
        <w:tc>
          <w:tcPr>
            <w:tcW w:type="dxa" w:w="2808"/>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52 controlled forms + G1–G5</w:t>
            </w:r>
          </w:p>
        </w:tc>
      </w:tr>
      <w:tr>
        <w:trPr>
          <w:cantSplit/>
        </w:trPr>
        <w:tc>
          <w:tcPr>
            <w:tcW w:type="dxa" w:w="244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RM — Responsibility Matrix</w:t>
            </w:r>
          </w:p>
        </w:tc>
        <w:tc>
          <w:tcPr>
            <w:tcW w:type="dxa" w:w="93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18 rows</w:t>
            </w:r>
          </w:p>
        </w:tc>
        <w:tc>
          <w:tcPr>
            <w:tcW w:type="dxa" w:w="360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GC/Builder; ProFab/Guildcrest; Client/Owner; Consultants</w:t>
            </w:r>
          </w:p>
        </w:tc>
        <w:tc>
          <w:tcPr>
            <w:tcW w:type="dxa" w:w="280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Whole-project responsibilities from authority/design through warranty/final close</w:t>
            </w:r>
          </w:p>
        </w:tc>
      </w:tr>
    </w:tbl>
    <w:p>
      <w:pPr>
        <w:pStyle w:val="Heading2"/>
      </w:pPr>
      <w:r>
        <w:t>Eight non-form L3 controls</w:t>
      </w:r>
    </w:p>
    <w:p>
      <w:pPr>
        <w:pStyle w:val="ListBullet"/>
        <w:spacing w:after="50"/>
      </w:pPr>
      <w:r>
        <w:rPr>
          <w:rFonts w:ascii="Aptos" w:hAnsi="Aptos" w:eastAsia="Arial Unicode MS"/>
          <w:color w:val="172033"/>
          <w:sz w:val="16"/>
        </w:rPr>
        <w:t>Gate 1 objective evidence dossier</w:t>
      </w:r>
    </w:p>
    <w:p>
      <w:pPr>
        <w:pStyle w:val="ListBullet"/>
        <w:spacing w:after="50"/>
      </w:pPr>
      <w:r>
        <w:rPr>
          <w:rFonts w:ascii="Aptos" w:hAnsi="Aptos" w:eastAsia="Arial Unicode MS"/>
          <w:color w:val="172033"/>
          <w:sz w:val="16"/>
        </w:rPr>
        <w:t>Gate 1 commercial engagement confirmation</w:t>
      </w:r>
    </w:p>
    <w:p>
      <w:pPr>
        <w:pStyle w:val="ListBullet"/>
        <w:spacing w:after="50"/>
      </w:pPr>
      <w:r>
        <w:rPr>
          <w:rFonts w:ascii="Aptos" w:hAnsi="Aptos" w:eastAsia="Arial Unicode MS"/>
          <w:color w:val="172033"/>
          <w:sz w:val="16"/>
        </w:rPr>
        <w:t>G1 qualified &amp; commercially engaged approval</w:t>
      </w:r>
    </w:p>
    <w:p>
      <w:pPr>
        <w:pStyle w:val="ListBullet"/>
        <w:spacing w:after="50"/>
      </w:pPr>
      <w:r>
        <w:rPr>
          <w:rFonts w:ascii="Aptos" w:hAnsi="Aptos" w:eastAsia="Arial Unicode MS"/>
          <w:color w:val="172033"/>
          <w:sz w:val="16"/>
        </w:rPr>
        <w:t>G2 project / technical commitment approval</w:t>
      </w:r>
    </w:p>
    <w:p>
      <w:pPr>
        <w:pStyle w:val="ListBullet"/>
        <w:spacing w:after="50"/>
      </w:pPr>
      <w:r>
        <w:rPr>
          <w:rFonts w:ascii="Aptos" w:hAnsi="Aptos" w:eastAsia="Arial Unicode MS"/>
          <w:color w:val="172033"/>
          <w:sz w:val="16"/>
        </w:rPr>
        <w:t>G3 production authorization</w:t>
      </w:r>
    </w:p>
    <w:p>
      <w:pPr>
        <w:pStyle w:val="ListBullet"/>
        <w:spacing w:after="50"/>
      </w:pPr>
      <w:r>
        <w:rPr>
          <w:rFonts w:ascii="Aptos" w:hAnsi="Aptos" w:eastAsia="Arial Unicode MS"/>
          <w:color w:val="172033"/>
          <w:sz w:val="16"/>
        </w:rPr>
        <w:t>G4 factory completion / release approval</w:t>
      </w:r>
    </w:p>
    <w:p>
      <w:pPr>
        <w:pStyle w:val="ListBullet"/>
        <w:spacing w:after="50"/>
      </w:pPr>
      <w:r>
        <w:rPr>
          <w:rFonts w:ascii="Aptos" w:hAnsi="Aptos" w:eastAsia="Arial Unicode MS"/>
          <w:color w:val="172033"/>
          <w:sz w:val="16"/>
        </w:rPr>
        <w:t>G5 project completion / warranty start approval</w:t>
      </w:r>
    </w:p>
    <w:p>
      <w:pPr>
        <w:pStyle w:val="ListBullet"/>
        <w:spacing w:after="50"/>
      </w:pPr>
      <w:r>
        <w:rPr>
          <w:rFonts w:ascii="Aptos" w:hAnsi="Aptos" w:eastAsia="Arial Unicode MS"/>
          <w:color w:val="172033"/>
          <w:sz w:val="16"/>
        </w:rPr>
        <w:t>Final close commercial and obligation reconciliation</w:t>
      </w:r>
    </w:p>
    <w:p>
      <w:r>
        <w:br w:type="page"/>
      </w:r>
    </w:p>
    <w:p>
      <w:pPr>
        <w:keepNext/>
        <w:spacing w:after="60"/>
      </w:pPr>
      <w:r>
        <w:rPr>
          <w:rFonts w:ascii="Aptos" w:hAnsi="Aptos" w:eastAsia="Arial Unicode MS"/>
          <w:b/>
          <w:color w:val="159A85"/>
          <w:sz w:val="16"/>
        </w:rPr>
        <w:t>06 / GATE 1 CLIENT ENFORCEMENT</w:t>
      </w:r>
    </w:p>
    <w:p>
      <w:pPr>
        <w:pStyle w:val="Heading1"/>
      </w:pPr>
      <w:r>
        <w:t>Evidence—not score—stops non-compliant clients</w:t>
      </w:r>
    </w:p>
    <w:tbl>
      <w:tblPr>
        <w:tblStyle w:val="TableGrid"/>
        <w:tblW w:type="auto" w:w="0"/>
        <w:jc w:val="center"/>
        <w:tblLook w:firstColumn="1" w:firstRow="1" w:lastColumn="0" w:lastRow="0" w:noHBand="0" w:noVBand="1" w:val="04A0"/>
        <w:tblLayout w:type="fixed"/>
      </w:tblPr>
      <w:tblGrid>
        <w:gridCol w:w="5141"/>
        <w:gridCol w:w="5141"/>
      </w:tblGrid>
      <w:tr>
        <w:trPr>
          <w:tblHeader w:val="true"/>
          <w:cantSplit/>
        </w:trPr>
        <w:tc>
          <w:tcPr>
            <w:tcW w:type="dxa" w:w="2088"/>
            <w:shd w:fill="B42318"/>
            <w:tcMar>
              <w:top w:w="80" w:type="dxa"/>
              <w:start w:w="90" w:type="dxa"/>
              <w:bottom w:w="80" w:type="dxa"/>
              <w:end w:w="90" w:type="dxa"/>
            </w:tcMar>
            <w:vAlign w:val="center"/>
          </w:tcPr>
          <w:p>
            <w:pPr>
              <w:spacing w:after="0"/>
              <w:jc w:val="left"/>
            </w:pPr>
            <w:r/>
            <w:r>
              <w:rPr>
                <w:rFonts w:ascii="Aptos" w:hAnsi="Aptos" w:eastAsia="Arial Unicode MS"/>
                <w:b/>
                <w:color w:val="FFFFFF"/>
                <w:sz w:val="16"/>
              </w:rPr>
              <w:t>Gate 1 step</w:t>
            </w:r>
          </w:p>
        </w:tc>
        <w:tc>
          <w:tcPr>
            <w:tcW w:type="dxa" w:w="7632"/>
            <w:shd w:fill="B42318"/>
            <w:tcMar>
              <w:top w:w="80" w:type="dxa"/>
              <w:start w:w="90" w:type="dxa"/>
              <w:bottom w:w="80" w:type="dxa"/>
              <w:end w:w="90" w:type="dxa"/>
            </w:tcMar>
            <w:vAlign w:val="center"/>
          </w:tcPr>
          <w:p>
            <w:pPr>
              <w:spacing w:after="0"/>
              <w:jc w:val="left"/>
            </w:pPr>
            <w:r/>
            <w:r>
              <w:rPr>
                <w:rFonts w:ascii="Aptos" w:hAnsi="Aptos" w:eastAsia="Arial Unicode MS"/>
                <w:b/>
                <w:color w:val="FFFFFF"/>
                <w:sz w:val="16"/>
              </w:rPr>
              <w:t>Release logic</w:t>
            </w:r>
          </w:p>
        </w:tc>
      </w:tr>
      <w:tr>
        <w:trPr>
          <w:cantSplit/>
        </w:trPr>
        <w:tc>
          <w:tcPr>
            <w:tcW w:type="dxa" w:w="2088"/>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1. Objective Intake</w:t>
            </w:r>
          </w:p>
        </w:tc>
        <w:tc>
          <w:tcPr>
            <w:tcW w:type="dxa" w:w="7632"/>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Client, relationship, authority status, storeys, GFA, site and design basis are recorded.</w:t>
            </w:r>
          </w:p>
        </w:tc>
      </w:tr>
      <w:tr>
        <w:trPr>
          <w:cantSplit/>
        </w:trPr>
        <w:tc>
          <w:tcPr>
            <w:tcW w:type="dxa" w:w="208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2. Hard Blockers</w:t>
            </w:r>
          </w:p>
        </w:tc>
        <w:tc>
          <w:tcPr>
            <w:tcW w:type="dxa" w:w="76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Authority, full decision group, named role evidence, approval path, scale, fatal site and modular incompatibility are enforced.</w:t>
            </w:r>
          </w:p>
        </w:tc>
      </w:tr>
      <w:tr>
        <w:trPr>
          <w:cantSplit/>
        </w:trPr>
        <w:tc>
          <w:tcPr>
            <w:tcW w:type="dxa" w:w="2088"/>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3. Plan Qualification</w:t>
            </w:r>
          </w:p>
        </w:tc>
        <w:tc>
          <w:tcPr>
            <w:tcW w:type="dxa" w:w="7632"/>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No design → CSA; Plan + scale → Class D; no amount is invented.</w:t>
            </w:r>
          </w:p>
        </w:tc>
      </w:tr>
      <w:tr>
        <w:trPr>
          <w:cantSplit/>
        </w:trPr>
        <w:tc>
          <w:tcPr>
            <w:tcW w:type="dxa" w:w="208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4. Commercial Routing</w:t>
            </w:r>
          </w:p>
        </w:tc>
        <w:tc>
          <w:tcPr>
            <w:tcW w:type="dxa" w:w="76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Assigned route must be one of the currently eligible bounded routes.</w:t>
            </w:r>
          </w:p>
        </w:tc>
      </w:tr>
      <w:tr>
        <w:trPr>
          <w:cantSplit/>
        </w:trPr>
        <w:tc>
          <w:tcPr>
            <w:tcW w:type="dxa" w:w="2088"/>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5. LOI Governance</w:t>
            </w:r>
          </w:p>
        </w:tc>
        <w:tc>
          <w:tcPr>
            <w:tcW w:type="dxa" w:w="7632"/>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When used: eligible relationship/policy, named executive, bounded scope/days/hours, review date and paid conversion trigger.</w:t>
            </w:r>
          </w:p>
        </w:tc>
      </w:tr>
      <w:tr>
        <w:trPr>
          <w:cantSplit/>
        </w:trPr>
        <w:tc>
          <w:tcPr>
            <w:tcW w:type="dxa" w:w="208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6. G1 Handoff</w:t>
            </w:r>
          </w:p>
        </w:tc>
        <w:tc>
          <w:tcPr>
            <w:tcW w:type="dxa" w:w="763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All prior checks plus an Executed commercial instrument; dossier records rules, route, score, risks and open actions.</w:t>
            </w:r>
          </w:p>
        </w:tc>
      </w:tr>
    </w:tbl>
    <w:p>
      <w:r>
        <w:rPr>
          <w:rFonts w:ascii="Aptos" w:hAnsi="Aptos" w:eastAsia="Arial Unicode MS"/>
          <w:b/>
          <w:color w:val="B42318"/>
          <w:sz w:val="16"/>
        </w:rPr>
        <w:t>Hard-rule precedence:</w:t>
      </w:r>
      <w:r>
        <w:rPr>
          <w:rFonts w:ascii="Aptos" w:hAnsi="Aptos" w:eastAsia="Arial Unicode MS"/>
          <w:i w:val="0"/>
          <w:color w:val="B42318"/>
          <w:sz w:val="16"/>
        </w:rPr>
        <w:t xml:space="preserve"> The score is a management quality indicator only. A 100/100 opportunity remains Hold, Blocked or No-Go whenever a hard rule is active.</w:t>
      </w:r>
    </w:p>
    <w:p>
      <w:pPr>
        <w:spacing w:after="0"/>
        <w:jc w:val="center"/>
      </w:pPr>
      <w:r>
        <w:drawing>
          <wp:inline xmlns:a="http://schemas.openxmlformats.org/drawingml/2006/main" xmlns:pic="http://schemas.openxmlformats.org/drawingml/2006/picture">
            <wp:extent cx="5669280" cy="4932274"/>
            <wp:docPr id="40" name="Picture 40"/>
            <wp:cNvGraphicFramePr>
              <a:graphicFrameLocks noChangeAspect="1"/>
            </wp:cNvGraphicFramePr>
            <a:graphic>
              <a:graphicData uri="http://schemas.openxmlformats.org/drawingml/2006/picture">
                <pic:pic>
                  <pic:nvPicPr>
                    <pic:cNvPr id="0" name="04-g1-objective-evidence-hard-block.png"/>
                    <pic:cNvPicPr/>
                  </pic:nvPicPr>
                  <pic:blipFill>
                    <a:blip r:embed="rId52"/>
                    <a:stretch>
                      <a:fillRect/>
                    </a:stretch>
                  </pic:blipFill>
                  <pic:spPr>
                    <a:xfrm>
                      <a:off x="0" y="0"/>
                      <a:ext cx="5669280" cy="4932274"/>
                    </a:xfrm>
                    <a:prstGeom prst="rect"/>
                  </pic:spPr>
                </pic:pic>
              </a:graphicData>
            </a:graphic>
          </wp:inline>
        </w:drawing>
      </w:r>
    </w:p>
    <w:p>
      <w:pPr>
        <w:pStyle w:val="Caption"/>
        <w:jc w:val="center"/>
      </w:pPr>
      <w:r>
        <w:rPr>
          <w:rFonts w:ascii="Aptos" w:hAnsi="Aptos" w:eastAsia="Arial Unicode MS"/>
          <w:i/>
          <w:color w:val="5D6A7E"/>
          <w:sz w:val="16"/>
        </w:rPr>
        <w:t>Figure 6. Confirmed authority cannot pass without a named role and documented approval path; Eligibility Cleared remains disabled.</w:t>
      </w:r>
    </w:p>
    <w:p>
      <w:pPr>
        <w:sectPr>
          <w:pgSz w:w="12240" w:h="15840"/>
          <w:pgMar w:top="893" w:right="979" w:bottom="893" w:left="979" w:header="360" w:footer="360" w:gutter="0"/>
          <w:cols w:space="720"/>
          <w:docGrid w:linePitch="360"/>
        </w:sectPr>
      </w:pPr>
    </w:p>
    <w:p>
      <w:pPr>
        <w:keepNext/>
        <w:spacing w:after="60"/>
      </w:pPr>
      <w:r>
        <w:rPr>
          <w:rFonts w:ascii="Aptos" w:hAnsi="Aptos" w:eastAsia="Arial Unicode MS"/>
          <w:b/>
          <w:color w:val="159A85"/>
          <w:sz w:val="16"/>
        </w:rPr>
        <w:t>07 / VERIFICATION</w:t>
      </w:r>
    </w:p>
    <w:p>
      <w:pPr>
        <w:pStyle w:val="Heading1"/>
      </w:pPr>
      <w:r>
        <w:t>Representative enforcement scenario matrix</w:t>
      </w:r>
    </w:p>
    <w:p>
      <w:r>
        <w:rPr>
          <w:rFonts w:ascii="Aptos" w:hAnsi="Aptos" w:eastAsia="Arial Unicode MS"/>
          <w:i w:val="0"/>
          <w:color w:val="172033"/>
          <w:sz w:val="16"/>
        </w:rPr>
        <w:t>The table below lists 48 representative qualification and form-bypass paths. The automated rule suite contains 63 checks; browser interaction and UI suites add 16 further checks.</w:t>
      </w:r>
    </w:p>
    <w:tbl>
      <w:tblPr>
        <w:tblStyle w:val="TableGrid"/>
        <w:tblW w:type="auto" w:w="0"/>
        <w:jc w:val="center"/>
        <w:tblLook w:firstColumn="1" w:firstRow="1" w:lastColumn="0" w:lastRow="0" w:noHBand="0" w:noVBand="1" w:val="04A0"/>
        <w:tblLayout w:type="fixed"/>
      </w:tblPr>
      <w:tblGrid>
        <w:gridCol w:w="3614"/>
        <w:gridCol w:w="3614"/>
        <w:gridCol w:w="3614"/>
        <w:gridCol w:w="3614"/>
      </w:tblGrid>
      <w:tr>
        <w:trPr>
          <w:tblHeader w:val="true"/>
          <w:cantSplit/>
        </w:trPr>
        <w:tc>
          <w:tcPr>
            <w:tcW w:type="dxa" w:w="792"/>
            <w:shd w:fill="0F7B5A"/>
            <w:tcMar>
              <w:top w:w="80" w:type="dxa"/>
              <w:start w:w="90" w:type="dxa"/>
              <w:bottom w:w="80" w:type="dxa"/>
              <w:end w:w="90" w:type="dxa"/>
            </w:tcMar>
            <w:vAlign w:val="center"/>
          </w:tcPr>
          <w:p>
            <w:pPr>
              <w:spacing w:after="0"/>
              <w:jc w:val="left"/>
            </w:pPr>
            <w:r/>
            <w:r>
              <w:rPr>
                <w:rFonts w:ascii="Aptos" w:hAnsi="Aptos" w:eastAsia="Arial Unicode MS"/>
                <w:b/>
                <w:color w:val="FFFFFF"/>
                <w:sz w:val="13"/>
              </w:rPr>
              <w:t>ID</w:t>
            </w:r>
          </w:p>
        </w:tc>
        <w:tc>
          <w:tcPr>
            <w:tcW w:type="dxa" w:w="4464"/>
            <w:shd w:fill="0F7B5A"/>
            <w:tcMar>
              <w:top w:w="80" w:type="dxa"/>
              <w:start w:w="90" w:type="dxa"/>
              <w:bottom w:w="80" w:type="dxa"/>
              <w:end w:w="90" w:type="dxa"/>
            </w:tcMar>
            <w:vAlign w:val="center"/>
          </w:tcPr>
          <w:p>
            <w:pPr>
              <w:spacing w:after="0"/>
              <w:jc w:val="left"/>
            </w:pPr>
            <w:r/>
            <w:r>
              <w:rPr>
                <w:rFonts w:ascii="Aptos" w:hAnsi="Aptos" w:eastAsia="Arial Unicode MS"/>
                <w:b/>
                <w:color w:val="FFFFFF"/>
                <w:sz w:val="13"/>
              </w:rPr>
              <w:t>Scenario</w:t>
            </w:r>
          </w:p>
        </w:tc>
        <w:tc>
          <w:tcPr>
            <w:tcW w:type="dxa" w:w="5472"/>
            <w:shd w:fill="0F7B5A"/>
            <w:tcMar>
              <w:top w:w="80" w:type="dxa"/>
              <w:start w:w="90" w:type="dxa"/>
              <w:bottom w:w="80" w:type="dxa"/>
              <w:end w:w="90" w:type="dxa"/>
            </w:tcMar>
            <w:vAlign w:val="center"/>
          </w:tcPr>
          <w:p>
            <w:pPr>
              <w:spacing w:after="0"/>
              <w:jc w:val="left"/>
            </w:pPr>
            <w:r/>
            <w:r>
              <w:rPr>
                <w:rFonts w:ascii="Aptos" w:hAnsi="Aptos" w:eastAsia="Arial Unicode MS"/>
                <w:b/>
                <w:color w:val="FFFFFF"/>
                <w:sz w:val="13"/>
              </w:rPr>
              <w:t>Expected enforcement</w:t>
            </w:r>
          </w:p>
        </w:tc>
        <w:tc>
          <w:tcPr>
            <w:tcW w:type="dxa" w:w="3384"/>
            <w:shd w:fill="0F7B5A"/>
            <w:tcMar>
              <w:top w:w="80" w:type="dxa"/>
              <w:start w:w="90" w:type="dxa"/>
              <w:bottom w:w="80" w:type="dxa"/>
              <w:end w:w="90" w:type="dxa"/>
            </w:tcMar>
            <w:vAlign w:val="center"/>
          </w:tcPr>
          <w:p>
            <w:pPr>
              <w:spacing w:after="0"/>
              <w:jc w:val="left"/>
            </w:pPr>
            <w:r/>
            <w:r>
              <w:rPr>
                <w:rFonts w:ascii="Aptos" w:hAnsi="Aptos" w:eastAsia="Arial Unicode MS"/>
                <w:b/>
                <w:color w:val="FFFFFF"/>
                <w:sz w:val="13"/>
              </w:rPr>
              <w:t>Verified result</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Q01</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Valid confirmed authority + Plan + scale</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Class D route; G1 may pass without a pre-G1 estimate amount</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Class D; G1 passes</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Q02</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No Design</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Route to paid CSA; never automatic No-Go</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CSA; G1 can pass</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Q03</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Decision authority Unknown</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Hard Hold regardless of score</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HOLD</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Q04</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Decision authority Partially Confirmed</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Hard Hold; cannot be treated as final</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HOLD</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Q05</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Final authority explicitly No</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Hard Hold</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HOLD</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Q06</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Authority marked Confirmed; name/role blank</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Objective-evidence Hold</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HOLD</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Q07</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Decision parties Yes; approval path blank</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Approval-path Hold</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HOLD</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Q08</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Required decision parties No/Unknown</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Hard Hold</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HOLD</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Q09</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Storeys and GFA both missing</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Block; no fake Class D</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BLOCKED</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Q10</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Storeys missing; GFA present</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Block incomplete scale</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BLOCKED</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Q11</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GFA missing; storeys present</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Block incomplete scale</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BLOCKED</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Q12</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Candidate Site</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Bounded CSA route + site risk</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CSA</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Q13</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Multiple Sites</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Bounded CSA route + site risk</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CSA</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Q14</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Municipal land not assigned</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Bounded CSA route + site risk</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CSA</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Q15</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No Site</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Bounded CSA/site-feasibility route</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CSA</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Q16</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Fatal site/logistics issue, not resolvable</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No-Go; archive route</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NO-GO</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Q17</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Fatal issue potentially resolvable</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Hold pending approved resolution</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HOLD</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Q18</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Permit Issued + Not Compatible + no corrective path</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No-Go; maturity cannot override compatibility</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NO-GO</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Q19</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Permit Issued + Not Reviewed</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Technical Review required; G1 blocked</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TECH REVIEW</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Q20</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IFC/Construction Ready + Not Reviewed</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Technical Review required; G1 blocked</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TECH REVIEW</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Q21</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Partially Compatible</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Technical Review required</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TECH REVIEW</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Q22</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Major Rework Likely</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Technical Review required</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TECH REVIEW</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Q23</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Not Compatible + corrective path Unknown</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Hold for technical decision</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HOLD</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Q24</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Funding In Process</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Risk only; not automatic No-Go</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risk visible</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Q25</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Funding Not Secured</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Distinct risk; no false ‘in process’ label</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risk visible</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Q26</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Funding Unknown</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Risk and action</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risk visible</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Q27</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Client budget missing</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Action; no synthetic price; not No-Go</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ACTION REQUIRED</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Q28</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Budget amount present; basis missing</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Commercial action; route preserved</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action visible</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Q29</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Class D shows major budget gap</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Commercial review action</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Major Gap</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Q30</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Aggressive/Unrealistic/Review timeline</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Visible risk; no silent pass</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three variants</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Q31</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Existing controlled Class D result</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Advance primary route to PCS</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PCS</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Q32</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Stale Class D amount while availability = No</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Ignore stale amount; cannot bypass to PCS</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Class D remains</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Q33</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No Design plus stale Class D amount</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CSA remains primary route</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CSA</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Q34</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Standard client selects LOI; policy disabled</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Route unavailable; G1 blocked</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blocked</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Q35</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Returning client selects LOI before Class D</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Cannot shortcut Class D</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blocked</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Q36</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Returning client + Class D + bounded LOI</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LOI available only with governance</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eligible</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Q37</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LOI missing caps/trigger/review/sign-off</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G1 blocked</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blocked</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Q38</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Assigned route does not match eligible route</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G1 blocked</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blocked</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Q39</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Commercial instrument not Executed</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G1 blocked</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blocked</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Q40</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High score + fatal hard rule</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Hard rule wins</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NO-GO</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F01</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Form status Complete; required fields blank</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Effective status remains incomplete</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blocked</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F02</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All fields complete; approval pending</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Cannot complete</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incomplete</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F03</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Agreement executed; signature pending</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Cannot complete</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incomplete</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F04</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Conditional/Triggered applicability Pending</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Gates until determination</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incomplete</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F05</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N/A selected; reason blank/whitespace</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N/A cannot bypass</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incomplete</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F06</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N/A selected with objective reason</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Non-applicability accepted</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complete</w:t>
            </w:r>
          </w:p>
        </w:tc>
      </w:tr>
      <w:tr>
        <w:trPr>
          <w:cantSplit/>
        </w:trPr>
        <w:tc>
          <w:tcPr>
            <w:tcW w:type="dxa" w:w="792"/>
            <w:tcMar>
              <w:top w:w="65" w:type="dxa"/>
              <w:start w:w="80" w:type="dxa"/>
              <w:bottom w:w="65" w:type="dxa"/>
              <w:end w:w="80" w:type="dxa"/>
            </w:tcMar>
            <w:vAlign w:val="top"/>
          </w:tcPr>
          <w:p>
            <w:pPr>
              <w:spacing w:after="0" w:line="245" w:lineRule="auto"/>
            </w:pPr>
            <w:r/>
            <w:r>
              <w:rPr>
                <w:rFonts w:ascii="Aptos" w:hAnsi="Aptos" w:eastAsia="Arial Unicode MS"/>
                <w:b/>
                <w:color w:val="172033"/>
                <w:sz w:val="13"/>
              </w:rPr>
              <w:t>F07</w:t>
            </w:r>
          </w:p>
        </w:tc>
        <w:tc>
          <w:tcPr>
            <w:tcW w:type="dxa" w:w="4464"/>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Approval or signature Rejected</w:t>
            </w:r>
          </w:p>
        </w:tc>
        <w:tc>
          <w:tcPr>
            <w:tcW w:type="dxa" w:w="5472"/>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Hard blocked state</w:t>
            </w:r>
          </w:p>
        </w:tc>
        <w:tc>
          <w:tcPr>
            <w:tcW w:type="dxa" w:w="3384"/>
            <w:tcMar>
              <w:top w:w="65" w:type="dxa"/>
              <w:start w:w="80" w:type="dxa"/>
              <w:bottom w:w="65" w:type="dxa"/>
              <w:end w:w="80" w:type="dxa"/>
            </w:tcMar>
            <w:vAlign w:val="top"/>
            <w:shd w:fill="EAF7F3"/>
          </w:tcPr>
          <w:p>
            <w:pPr>
              <w:spacing w:after="0" w:line="245" w:lineRule="auto"/>
            </w:pPr>
            <w:r>
              <w:rPr>
                <w:b/>
                <w:color w:val="0F7B5A"/>
              </w:rPr>
            </w:r>
            <w:r>
              <w:rPr>
                <w:rFonts w:ascii="Aptos" w:hAnsi="Aptos" w:eastAsia="Arial Unicode MS"/>
                <w:b/>
                <w:color w:val="0F7B5A"/>
                <w:sz w:val="13"/>
              </w:rPr>
              <w:t>PASS — blocked</w:t>
            </w:r>
          </w:p>
        </w:tc>
      </w:tr>
      <w:tr>
        <w:trPr>
          <w:cantSplit/>
        </w:trPr>
        <w:tc>
          <w:tcPr>
            <w:tcW w:type="dxa" w:w="792"/>
            <w:shd w:fill="F5F7FA"/>
            <w:tcMar>
              <w:top w:w="65" w:type="dxa"/>
              <w:start w:w="80" w:type="dxa"/>
              <w:bottom w:w="65" w:type="dxa"/>
              <w:end w:w="80" w:type="dxa"/>
            </w:tcMar>
            <w:vAlign w:val="top"/>
          </w:tcPr>
          <w:p>
            <w:pPr>
              <w:spacing w:after="0" w:line="245" w:lineRule="auto"/>
            </w:pPr>
            <w:r/>
            <w:r>
              <w:rPr>
                <w:rFonts w:ascii="Aptos" w:hAnsi="Aptos" w:eastAsia="Arial Unicode MS"/>
                <w:b/>
                <w:color w:val="172033"/>
                <w:sz w:val="13"/>
              </w:rPr>
              <w:t>F08</w:t>
            </w:r>
          </w:p>
        </w:tc>
        <w:tc>
          <w:tcPr>
            <w:tcW w:type="dxa" w:w="446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Attempt to delete a controlled form</w:t>
            </w:r>
          </w:p>
        </w:tc>
        <w:tc>
          <w:tcPr>
            <w:tcW w:type="dxa" w:w="547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3"/>
              </w:rPr>
              <w:t>Deletion control unavailable</w:t>
            </w:r>
          </w:p>
        </w:tc>
        <w:tc>
          <w:tcPr>
            <w:tcW w:type="dxa" w:w="3384"/>
            <w:shd w:fill="EAF7F3"/>
            <w:tcMar>
              <w:top w:w="65" w:type="dxa"/>
              <w:start w:w="80" w:type="dxa"/>
              <w:bottom w:w="65" w:type="dxa"/>
              <w:end w:w="80" w:type="dxa"/>
            </w:tcMar>
            <w:vAlign w:val="top"/>
          </w:tcPr>
          <w:p>
            <w:pPr>
              <w:spacing w:after="0" w:line="245" w:lineRule="auto"/>
            </w:pPr>
            <w:r>
              <w:rPr>
                <w:b/>
                <w:color w:val="0F7B5A"/>
              </w:rPr>
            </w:r>
            <w:r>
              <w:rPr>
                <w:rFonts w:ascii="Aptos" w:hAnsi="Aptos" w:eastAsia="Arial Unicode MS"/>
                <w:b/>
                <w:color w:val="0F7B5A"/>
                <w:sz w:val="13"/>
              </w:rPr>
              <w:t>PASS — protected</w:t>
            </w:r>
          </w:p>
        </w:tc>
      </w:tr>
    </w:tbl>
    <w:p>
      <w:pPr>
        <w:sectPr>
          <w:pgSz w:w="15840" w:h="12240" w:orient="landscape"/>
          <w:pgMar w:top="648" w:right="691" w:bottom="691" w:left="691" w:header="360" w:footer="360" w:gutter="0"/>
          <w:cols w:space="720"/>
          <w:docGrid w:linePitch="360"/>
        </w:sectPr>
      </w:pPr>
    </w:p>
    <w:p>
      <w:pPr>
        <w:keepNext/>
        <w:spacing w:after="60"/>
      </w:pPr>
      <w:r>
        <w:rPr>
          <w:rFonts w:ascii="Aptos" w:hAnsi="Aptos" w:eastAsia="Arial Unicode MS"/>
          <w:b/>
          <w:color w:val="159A85"/>
          <w:sz w:val="16"/>
        </w:rPr>
        <w:t>07 / VERIFICATION</w:t>
      </w:r>
    </w:p>
    <w:p>
      <w:pPr>
        <w:pStyle w:val="Heading1"/>
      </w:pPr>
      <w:r>
        <w:t>Automated and manual QA evidence</w:t>
      </w:r>
    </w:p>
    <w:tbl>
      <w:tblPr>
        <w:tblStyle w:val="TableGrid"/>
        <w:tblW w:type="auto" w:w="0"/>
        <w:jc w:val="center"/>
        <w:tblLook w:firstColumn="1" w:firstRow="1" w:lastColumn="0" w:lastRow="0" w:noHBand="0" w:noVBand="1" w:val="04A0"/>
        <w:tblLayout w:type="fixed"/>
      </w:tblPr>
      <w:tblGrid>
        <w:gridCol w:w="3427"/>
        <w:gridCol w:w="3427"/>
        <w:gridCol w:w="3427"/>
      </w:tblGrid>
      <w:tr>
        <w:trPr>
          <w:tblHeader w:val="true"/>
          <w:cantSplit/>
        </w:trPr>
        <w:tc>
          <w:tcPr>
            <w:tcW w:type="dxa" w:w="2088"/>
            <w:shd w:fill="0F7B5A"/>
            <w:tcMar>
              <w:top w:w="80" w:type="dxa"/>
              <w:start w:w="90" w:type="dxa"/>
              <w:bottom w:w="80" w:type="dxa"/>
              <w:end w:w="90" w:type="dxa"/>
            </w:tcMar>
            <w:vAlign w:val="center"/>
          </w:tcPr>
          <w:p>
            <w:pPr>
              <w:spacing w:after="0"/>
              <w:jc w:val="left"/>
            </w:pPr>
            <w:r/>
            <w:r>
              <w:rPr>
                <w:rFonts w:ascii="Aptos" w:hAnsi="Aptos" w:eastAsia="Arial Unicode MS"/>
                <w:b/>
                <w:color w:val="FFFFFF"/>
                <w:sz w:val="15"/>
              </w:rPr>
              <w:t>Verification layer</w:t>
            </w:r>
          </w:p>
        </w:tc>
        <w:tc>
          <w:tcPr>
            <w:tcW w:type="dxa" w:w="1512"/>
            <w:shd w:fill="0F7B5A"/>
            <w:tcMar>
              <w:top w:w="80" w:type="dxa"/>
              <w:start w:w="90" w:type="dxa"/>
              <w:bottom w:w="80" w:type="dxa"/>
              <w:end w:w="90" w:type="dxa"/>
            </w:tcMar>
            <w:vAlign w:val="center"/>
          </w:tcPr>
          <w:p>
            <w:pPr>
              <w:spacing w:after="0"/>
              <w:jc w:val="left"/>
            </w:pPr>
            <w:r/>
            <w:r>
              <w:rPr>
                <w:rFonts w:ascii="Aptos" w:hAnsi="Aptos" w:eastAsia="Arial Unicode MS"/>
                <w:b/>
                <w:color w:val="FFFFFF"/>
                <w:sz w:val="15"/>
              </w:rPr>
              <w:t>Result</w:t>
            </w:r>
          </w:p>
        </w:tc>
        <w:tc>
          <w:tcPr>
            <w:tcW w:type="dxa" w:w="6120"/>
            <w:shd w:fill="0F7B5A"/>
            <w:tcMar>
              <w:top w:w="80" w:type="dxa"/>
              <w:start w:w="90" w:type="dxa"/>
              <w:bottom w:w="80" w:type="dxa"/>
              <w:end w:w="90" w:type="dxa"/>
            </w:tcMar>
            <w:vAlign w:val="center"/>
          </w:tcPr>
          <w:p>
            <w:pPr>
              <w:spacing w:after="0"/>
              <w:jc w:val="left"/>
            </w:pPr>
            <w:r/>
            <w:r>
              <w:rPr>
                <w:rFonts w:ascii="Aptos" w:hAnsi="Aptos" w:eastAsia="Arial Unicode MS"/>
                <w:b/>
                <w:color w:val="FFFFFF"/>
                <w:sz w:val="15"/>
              </w:rPr>
              <w:t>Coverage</w:t>
            </w:r>
          </w:p>
        </w:tc>
      </w:tr>
      <w:tr>
        <w:trPr>
          <w:cantSplit/>
        </w:trPr>
        <w:tc>
          <w:tcPr>
            <w:tcW w:type="dxa" w:w="2088"/>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Deterministic rules</w:t>
            </w:r>
          </w:p>
        </w:tc>
        <w:tc>
          <w:tcPr>
            <w:tcW w:type="dxa" w:w="151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63/63 passed</w:t>
            </w:r>
          </w:p>
        </w:tc>
        <w:tc>
          <w:tcPr>
            <w:tcW w:type="dxa" w:w="6120"/>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Qualification hard rules, routing, LOI, score precedence, L1/L2/L3 structure, 52-form catalog, completion/N/A/signature/approval loopholes</w:t>
            </w:r>
          </w:p>
        </w:tc>
      </w:tr>
      <w:tr>
        <w:trPr>
          <w:cantSplit/>
        </w:trPr>
        <w:tc>
          <w:tcPr>
            <w:tcW w:type="dxa" w:w="208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Browser interaction</w:t>
            </w:r>
          </w:p>
        </w:tc>
        <w:tc>
          <w:tcPr>
            <w:tcW w:type="dxa" w:w="15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9/9 passed</w:t>
            </w:r>
          </w:p>
        </w:tc>
        <w:tc>
          <w:tcPr>
            <w:tcW w:type="dxa" w:w="612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App load, exact lifecycle, all 52 forms opening, controlled-form regression, N/A, document metadata, client hard block, matrix, mobile</w:t>
            </w:r>
          </w:p>
        </w:tc>
      </w:tr>
      <w:tr>
        <w:trPr>
          <w:cantSplit/>
        </w:trPr>
        <w:tc>
          <w:tcPr>
            <w:tcW w:type="dxa" w:w="2088"/>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Responsive &amp; accessibility</w:t>
            </w:r>
          </w:p>
        </w:tc>
        <w:tc>
          <w:tcPr>
            <w:tcW w:type="dxa" w:w="151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7/7 passed</w:t>
            </w:r>
          </w:p>
        </w:tc>
        <w:tc>
          <w:tcPr>
            <w:tcW w:type="dxa" w:w="6120"/>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L1/L2/L3 at five widths; visible inputs/buttons named; duplicate IDs absent on Gate, form and matrix screens</w:t>
            </w:r>
          </w:p>
        </w:tc>
      </w:tr>
      <w:tr>
        <w:trPr>
          <w:cantSplit/>
        </w:trPr>
        <w:tc>
          <w:tcPr>
            <w:tcW w:type="dxa" w:w="208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Report screenshots</w:t>
            </w:r>
          </w:p>
        </w:tc>
        <w:tc>
          <w:tcPr>
            <w:tcW w:type="dxa" w:w="15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5/5 passed</w:t>
            </w:r>
          </w:p>
        </w:tc>
        <w:tc>
          <w:tcPr>
            <w:tcW w:type="dxa" w:w="612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Deterministic capture of L1, L2, L3, hard blocker and source QA</w:t>
            </w:r>
          </w:p>
        </w:tc>
      </w:tr>
      <w:tr>
        <w:trPr>
          <w:cantSplit/>
        </w:trPr>
        <w:tc>
          <w:tcPr>
            <w:tcW w:type="dxa" w:w="2088"/>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Static quality</w:t>
            </w:r>
          </w:p>
        </w:tc>
        <w:tc>
          <w:tcPr>
            <w:tcW w:type="dxa" w:w="151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Passed</w:t>
            </w:r>
          </w:p>
        </w:tc>
        <w:tc>
          <w:tcPr>
            <w:tcW w:type="dxa" w:w="6120"/>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TypeScript, ESLint, git diff check</w:t>
            </w:r>
          </w:p>
        </w:tc>
      </w:tr>
      <w:tr>
        <w:trPr>
          <w:cantSplit/>
        </w:trPr>
        <w:tc>
          <w:tcPr>
            <w:tcW w:type="dxa" w:w="2088"/>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Production build</w:t>
            </w:r>
          </w:p>
        </w:tc>
        <w:tc>
          <w:tcPr>
            <w:tcW w:type="dxa" w:w="15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Passed</w:t>
            </w:r>
          </w:p>
        </w:tc>
        <w:tc>
          <w:tcPr>
            <w:tcW w:type="dxa" w:w="612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Next.js 16.3 optimized static build</w:t>
            </w:r>
          </w:p>
        </w:tc>
      </w:tr>
      <w:tr>
        <w:trPr>
          <w:cantSplit/>
        </w:trPr>
        <w:tc>
          <w:tcPr>
            <w:tcW w:type="dxa" w:w="2088"/>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Console/network</w:t>
            </w:r>
          </w:p>
        </w:tc>
        <w:tc>
          <w:tcPr>
            <w:tcW w:type="dxa" w:w="1512"/>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Passed</w:t>
            </w:r>
          </w:p>
        </w:tc>
        <w:tc>
          <w:tcPr>
            <w:tcW w:type="dxa" w:w="6120"/>
            <w:tcMar>
              <w:top w:w="65" w:type="dxa"/>
              <w:start w:w="80" w:type="dxa"/>
              <w:bottom w:w="65" w:type="dxa"/>
              <w:end w:w="80" w:type="dxa"/>
            </w:tcMar>
            <w:vAlign w:val="top"/>
          </w:tcPr>
          <w:p>
            <w:pPr>
              <w:spacing w:after="0" w:line="245" w:lineRule="auto"/>
            </w:pPr>
            <w:r/>
            <w:r>
              <w:rPr>
                <w:rFonts w:ascii="Aptos" w:hAnsi="Aptos" w:eastAsia="Arial Unicode MS"/>
                <w:b w:val="0"/>
                <w:color w:val="172033"/>
                <w:sz w:val="15"/>
              </w:rPr>
              <w:t>No browser console errors and no HTTP 4xx/5xx on clean load</w:t>
            </w:r>
          </w:p>
        </w:tc>
      </w:tr>
    </w:tbl>
    <w:tbl>
      <w:tblPr>
        <w:tblW w:type="auto" w:w="0"/>
        <w:jc w:val="center"/>
        <w:tblLayout w:type="autofit"/>
        <w:tblLook w:firstColumn="1" w:firstRow="1" w:lastColumn="0" w:lastRow="0" w:noHBand="0" w:noVBand="1" w:val="04A0"/>
      </w:tblPr>
      <w:tblGrid>
        <w:gridCol w:w="10282"/>
      </w:tblGrid>
      <w:tr>
        <w:tc>
          <w:tcPr>
            <w:tcW w:type="dxa" w:w="10282"/>
            <w:shd w:fill="FFF6E8"/>
            <w:tcMar>
              <w:top w:w="120" w:type="dxa"/>
              <w:start w:w="150" w:type="dxa"/>
              <w:bottom w:w="120" w:type="dxa"/>
              <w:end w:w="150" w:type="dxa"/>
            </w:tcMar>
          </w:tcPr>
          <w:p>
            <w:pPr>
              <w:spacing w:after="60"/>
            </w:pPr>
            <w:r/>
            <w:r>
              <w:rPr>
                <w:rFonts w:ascii="Aptos" w:hAnsi="Aptos" w:eastAsia="Arial Unicode MS"/>
                <w:b/>
                <w:color w:val="B85D05"/>
                <w:sz w:val="20"/>
              </w:rPr>
              <w:t>Dependency note</w:t>
            </w:r>
          </w:p>
          <w:p>
            <w:pPr>
              <w:spacing w:after="0" w:line="259" w:lineRule="auto"/>
            </w:pPr>
            <w:r>
              <w:rPr>
                <w:rFonts w:ascii="Aptos" w:hAnsi="Aptos" w:eastAsia="Arial Unicode MS"/>
                <w:color w:val="172033"/>
                <w:sz w:val="17"/>
              </w:rPr>
              <w:t>npm audit reports two Moderate entries that are the same transitive chain: exceljs 4.4.0 → uuid 8.3.2. ExcelJS uses uuid v4 without the advisory's v3/v5/v6 buffer argument, so the current export path is not the affected call pattern. No forced downgrade was applied because npm's suggested fix would move ExcelJS to 3.4.0 and risks breaking exports. There are zero High or Critical findings.</w:t>
            </w:r>
          </w:p>
        </w:tc>
      </w:tr>
    </w:tbl>
    <w:p>
      <w:pPr>
        <w:spacing w:after="0"/>
      </w:pPr>
    </w:p>
    <w:p>
      <w:pPr>
        <w:sectPr>
          <w:pgSz w:w="12240" w:h="15840"/>
          <w:pgMar w:top="893" w:right="979" w:bottom="893" w:left="979" w:header="360" w:footer="360" w:gutter="0"/>
          <w:cols w:space="720"/>
          <w:docGrid w:linePitch="360"/>
        </w:sectPr>
      </w:pPr>
    </w:p>
    <w:p>
      <w:pPr>
        <w:keepNext/>
        <w:spacing w:after="60"/>
      </w:pPr>
      <w:r>
        <w:rPr>
          <w:rFonts w:ascii="Aptos" w:hAnsi="Aptos" w:eastAsia="Arial Unicode MS"/>
          <w:b/>
          <w:color w:val="159A85"/>
          <w:sz w:val="16"/>
        </w:rPr>
        <w:t>08 / BUG &amp; UI REVIEW</w:t>
      </w:r>
    </w:p>
    <w:p>
      <w:pPr>
        <w:pStyle w:val="Heading1"/>
      </w:pPr>
      <w:r>
        <w:t>Issues found and corrected</w:t>
      </w:r>
    </w:p>
    <w:tbl>
      <w:tblPr>
        <w:tblStyle w:val="TableGrid"/>
        <w:tblW w:type="auto" w:w="0"/>
        <w:jc w:val="center"/>
        <w:tblLook w:firstColumn="1" w:firstRow="1" w:lastColumn="0" w:lastRow="0" w:noHBand="0" w:noVBand="1" w:val="04A0"/>
        <w:tblLayout w:type="fixed"/>
      </w:tblPr>
      <w:tblGrid>
        <w:gridCol w:w="4819"/>
        <w:gridCol w:w="4819"/>
        <w:gridCol w:w="4819"/>
      </w:tblGrid>
      <w:tr>
        <w:trPr>
          <w:tblHeader w:val="true"/>
          <w:cantSplit/>
        </w:trPr>
        <w:tc>
          <w:tcPr>
            <w:tcW w:type="dxa" w:w="2592"/>
            <w:shd w:fill="1F5A94"/>
            <w:tcMar>
              <w:top w:w="80" w:type="dxa"/>
              <w:start w:w="90" w:type="dxa"/>
              <w:bottom w:w="80" w:type="dxa"/>
              <w:end w:w="90" w:type="dxa"/>
            </w:tcMar>
            <w:vAlign w:val="center"/>
          </w:tcPr>
          <w:p>
            <w:pPr>
              <w:spacing w:after="0"/>
              <w:jc w:val="left"/>
            </w:pPr>
            <w:r/>
            <w:r>
              <w:rPr>
                <w:rFonts w:ascii="Aptos" w:hAnsi="Aptos" w:eastAsia="Arial Unicode MS"/>
                <w:b/>
                <w:color w:val="FFFFFF"/>
                <w:sz w:val="14"/>
              </w:rPr>
              <w:t>Finding</w:t>
            </w:r>
          </w:p>
        </w:tc>
        <w:tc>
          <w:tcPr>
            <w:tcW w:type="dxa" w:w="5112"/>
            <w:shd w:fill="1F5A94"/>
            <w:tcMar>
              <w:top w:w="80" w:type="dxa"/>
              <w:start w:w="90" w:type="dxa"/>
              <w:bottom w:w="80" w:type="dxa"/>
              <w:end w:w="90" w:type="dxa"/>
            </w:tcMar>
            <w:vAlign w:val="center"/>
          </w:tcPr>
          <w:p>
            <w:pPr>
              <w:spacing w:after="0"/>
              <w:jc w:val="left"/>
            </w:pPr>
            <w:r/>
            <w:r>
              <w:rPr>
                <w:rFonts w:ascii="Aptos" w:hAnsi="Aptos" w:eastAsia="Arial Unicode MS"/>
                <w:b/>
                <w:color w:val="FFFFFF"/>
                <w:sz w:val="14"/>
              </w:rPr>
              <w:t>Failure risk</w:t>
            </w:r>
          </w:p>
        </w:tc>
        <w:tc>
          <w:tcPr>
            <w:tcW w:type="dxa" w:w="6696"/>
            <w:shd w:fill="1F5A94"/>
            <w:tcMar>
              <w:top w:w="80" w:type="dxa"/>
              <w:start w:w="90" w:type="dxa"/>
              <w:bottom w:w="80" w:type="dxa"/>
              <w:end w:w="90" w:type="dxa"/>
            </w:tcMar>
            <w:vAlign w:val="center"/>
          </w:tcPr>
          <w:p>
            <w:pPr>
              <w:spacing w:after="0"/>
              <w:jc w:val="left"/>
            </w:pPr>
            <w:r/>
            <w:r>
              <w:rPr>
                <w:rFonts w:ascii="Aptos" w:hAnsi="Aptos" w:eastAsia="Arial Unicode MS"/>
                <w:b/>
                <w:color w:val="FFFFFF"/>
                <w:sz w:val="14"/>
              </w:rPr>
              <w:t>Correction in current system</w:t>
            </w:r>
          </w:p>
        </w:tc>
      </w:tr>
      <w:tr>
        <w:trPr>
          <w:cantSplit/>
        </w:trPr>
        <w:tc>
          <w:tcPr>
            <w:tcW w:type="dxa" w:w="2592"/>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L1 structure drift</w:t>
            </w:r>
          </w:p>
        </w:tc>
        <w:tc>
          <w:tcPr>
            <w:tcW w:type="dxa" w:w="5112"/>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G1 was not a distinct L1/L2 control and the commercial path could appear as a peer L1 phase.</w:t>
            </w:r>
          </w:p>
        </w:tc>
        <w:tc>
          <w:tcPr>
            <w:tcW w:type="dxa" w:w="669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Restored exact 13-node L1; Commercial Pathway lives under Pre-Construction; G1 is a distinct Gate.</w:t>
            </w:r>
          </w:p>
        </w:tc>
      </w:tr>
      <w:tr>
        <w:trPr>
          <w:cantSplit/>
        </w:trPr>
        <w:tc>
          <w:tcPr>
            <w:tcW w:type="dxa" w:w="259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Route bypass</w:t>
            </w:r>
          </w:p>
        </w:tc>
        <w:tc>
          <w:tcPr>
            <w:tcW w:type="dxa" w:w="51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Opportunity could connect directly to Commercial Pathway.</w:t>
            </w:r>
          </w:p>
        </w:tc>
        <w:tc>
          <w:tcPr>
            <w:tcW w:type="dxa" w:w="66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Canonical edge is Opportunity → G1 → Commercial Pathway; migration removes the bypass.</w:t>
            </w:r>
          </w:p>
        </w:tc>
      </w:tr>
      <w:tr>
        <w:trPr>
          <w:cantSplit/>
        </w:trPr>
        <w:tc>
          <w:tcPr>
            <w:tcW w:type="dxa" w:w="2592"/>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Authority-state mismatch</w:t>
            </w:r>
          </w:p>
        </w:tc>
        <w:tc>
          <w:tcPr>
            <w:tcW w:type="dxa" w:w="5112"/>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Partially Confirmed could be visually blocked but pass the underlying Gate decision.</w:t>
            </w:r>
          </w:p>
        </w:tc>
        <w:tc>
          <w:tcPr>
            <w:tcW w:type="dxa" w:w="669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Partially Confirmed is now a deterministic Hard Hold in both UI and rule engine.</w:t>
            </w:r>
          </w:p>
        </w:tc>
      </w:tr>
      <w:tr>
        <w:trPr>
          <w:cantSplit/>
        </w:trPr>
        <w:tc>
          <w:tcPr>
            <w:tcW w:type="dxa" w:w="259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‘Confirmed’ without evidence</w:t>
            </w:r>
          </w:p>
        </w:tc>
        <w:tc>
          <w:tcPr>
            <w:tcW w:type="dxa" w:w="51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No name/role or approval path was required.</w:t>
            </w:r>
          </w:p>
        </w:tc>
        <w:tc>
          <w:tcPr>
            <w:tcW w:type="dxa" w:w="66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Final Authority Name, Role/Title and Approval Path are mandatory hard-control evidence.</w:t>
            </w:r>
          </w:p>
        </w:tc>
      </w:tr>
      <w:tr>
        <w:trPr>
          <w:cantSplit/>
        </w:trPr>
        <w:tc>
          <w:tcPr>
            <w:tcW w:type="dxa" w:w="2592"/>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Class D misuse</w:t>
            </w:r>
          </w:p>
        </w:tc>
        <w:tc>
          <w:tcPr>
            <w:tcW w:type="dxa" w:w="5112"/>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A price could be treated as a pre-G1 prerequisite or fabricated from defaults.</w:t>
            </w:r>
          </w:p>
        </w:tc>
        <w:tc>
          <w:tcPr>
            <w:tcW w:type="dxa" w:w="669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G1 only assigns route; storeys + GFA are mandatory; no amount/formula is invented.</w:t>
            </w:r>
          </w:p>
        </w:tc>
      </w:tr>
      <w:tr>
        <w:trPr>
          <w:cantSplit/>
        </w:trPr>
        <w:tc>
          <w:tcPr>
            <w:tcW w:type="dxa" w:w="259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Maturity shortcut</w:t>
            </w:r>
          </w:p>
        </w:tc>
        <w:tc>
          <w:tcPr>
            <w:tcW w:type="dxa" w:w="51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Permit/IFC maturity could be mistaken for modular compatibility.</w:t>
            </w:r>
          </w:p>
        </w:tc>
        <w:tc>
          <w:tcPr>
            <w:tcW w:type="dxa" w:w="66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Separate fields and Technical Review/No-Go rules block incompatible or unreviewed design.</w:t>
            </w:r>
          </w:p>
        </w:tc>
      </w:tr>
      <w:tr>
        <w:trPr>
          <w:cantSplit/>
        </w:trPr>
        <w:tc>
          <w:tcPr>
            <w:tcW w:type="dxa" w:w="2592"/>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Controlled-form gaps</w:t>
            </w:r>
          </w:p>
        </w:tc>
        <w:tc>
          <w:tcPr>
            <w:tcW w:type="dxa" w:w="5112"/>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The previous L3 model did not expose every indexed/source form consistently.</w:t>
            </w:r>
          </w:p>
        </w:tc>
        <w:tc>
          <w:tcPr>
            <w:tcW w:type="dxa" w:w="669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52 unique catalog forms are seeded once and open from their linked L2 nodes.</w:t>
            </w:r>
          </w:p>
        </w:tc>
      </w:tr>
      <w:tr>
        <w:trPr>
          <w:cantSplit/>
        </w:trPr>
        <w:tc>
          <w:tcPr>
            <w:tcW w:type="dxa" w:w="259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Form completion bypass</w:t>
            </w:r>
          </w:p>
        </w:tc>
        <w:tc>
          <w:tcPr>
            <w:tcW w:type="dxa" w:w="51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Status could be set Complete while required fields, signature or approval were missing.</w:t>
            </w:r>
          </w:p>
        </w:tc>
        <w:tc>
          <w:tcPr>
            <w:tcW w:type="dxa" w:w="66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Effective progress derives from fields + status + signature + approval + task state.</w:t>
            </w:r>
          </w:p>
        </w:tc>
      </w:tr>
      <w:tr>
        <w:trPr>
          <w:cantSplit/>
        </w:trPr>
        <w:tc>
          <w:tcPr>
            <w:tcW w:type="dxa" w:w="2592"/>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N/A bypass</w:t>
            </w:r>
          </w:p>
        </w:tc>
        <w:tc>
          <w:tcPr>
            <w:tcW w:type="dxa" w:w="5112"/>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Conditional/triggered records could disappear without evidence.</w:t>
            </w:r>
          </w:p>
        </w:tc>
        <w:tc>
          <w:tcPr>
            <w:tcW w:type="dxa" w:w="669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Pending applicability gates; N/A requires an objective reason.</w:t>
            </w:r>
          </w:p>
        </w:tc>
      </w:tr>
      <w:tr>
        <w:trPr>
          <w:cantSplit/>
        </w:trPr>
        <w:tc>
          <w:tcPr>
            <w:tcW w:type="dxa" w:w="259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Controlled form deletion</w:t>
            </w:r>
          </w:p>
        </w:tc>
        <w:tc>
          <w:tcPr>
            <w:tcW w:type="dxa" w:w="51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A catalog record could be removed and silently reduce the control set.</w:t>
            </w:r>
          </w:p>
        </w:tc>
        <w:tc>
          <w:tcPr>
            <w:tcW w:type="dxa" w:w="66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Catalog forms and Gate controls cannot be deleted; Clear L3 removes custom items only.</w:t>
            </w:r>
          </w:p>
        </w:tc>
      </w:tr>
      <w:tr>
        <w:trPr>
          <w:cantSplit/>
        </w:trPr>
        <w:tc>
          <w:tcPr>
            <w:tcW w:type="dxa" w:w="2592"/>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Uncontrolled collaboration</w:t>
            </w:r>
          </w:p>
        </w:tc>
        <w:tc>
          <w:tcPr>
            <w:tcW w:type="dxa" w:w="5112"/>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The page automatically connected to a public relay.</w:t>
            </w:r>
          </w:p>
        </w:tc>
        <w:tc>
          <w:tcPr>
            <w:tcW w:type="dxa" w:w="669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Collaboration is Off/Local unless a user explicitly creates or opens a share link.</w:t>
            </w:r>
          </w:p>
        </w:tc>
      </w:tr>
      <w:tr>
        <w:trPr>
          <w:cantSplit/>
        </w:trPr>
        <w:tc>
          <w:tcPr>
            <w:tcW w:type="dxa" w:w="259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Auth-bypass request error</w:t>
            </w:r>
          </w:p>
        </w:tc>
        <w:tc>
          <w:tcPr>
            <w:tcW w:type="dxa" w:w="51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Local bypass mode still called a missing /api/auth/me endpoint.</w:t>
            </w:r>
          </w:p>
        </w:tc>
        <w:tc>
          <w:tcPr>
            <w:tcW w:type="dxa" w:w="66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Cloud controls skip that request in bypass mode; no failed response remains.</w:t>
            </w:r>
          </w:p>
        </w:tc>
      </w:tr>
      <w:tr>
        <w:trPr>
          <w:cantSplit/>
        </w:trPr>
        <w:tc>
          <w:tcPr>
            <w:tcW w:type="dxa" w:w="2592"/>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Missing favicon</w:t>
            </w:r>
          </w:p>
        </w:tc>
        <w:tc>
          <w:tcPr>
            <w:tcW w:type="dxa" w:w="5112"/>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Browser requested a non-existent icon.</w:t>
            </w:r>
          </w:p>
        </w:tc>
        <w:tc>
          <w:tcPr>
            <w:tcW w:type="dxa" w:w="669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A controlled app icon now eliminates the 404.</w:t>
            </w:r>
          </w:p>
        </w:tc>
      </w:tr>
      <w:tr>
        <w:trPr>
          <w:cantSplit/>
        </w:trPr>
        <w:tc>
          <w:tcPr>
            <w:tcW w:type="dxa" w:w="259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Unlabelled controls</w:t>
            </w:r>
          </w:p>
        </w:tc>
        <w:tc>
          <w:tcPr>
            <w:tcW w:type="dxa" w:w="51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11 Gate 1 secondary inputs had visual labels but no programmatic accessible name.</w:t>
            </w:r>
          </w:p>
        </w:tc>
        <w:tc>
          <w:tcPr>
            <w:tcW w:type="dxa" w:w="66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All 11 were associated with labels/ARIA; deep L3 and matrix scans now pass.</w:t>
            </w:r>
          </w:p>
        </w:tc>
      </w:tr>
      <w:tr>
        <w:trPr>
          <w:cantSplit/>
        </w:trPr>
        <w:tc>
          <w:tcPr>
            <w:tcW w:type="dxa" w:w="2592"/>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Responsive density</w:t>
            </w:r>
          </w:p>
        </w:tc>
        <w:tc>
          <w:tcPr>
            <w:tcW w:type="dxa" w:w="5112"/>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Dense L2/L3 layouts risked document-level horizontal overflow.</w:t>
            </w:r>
          </w:p>
        </w:tc>
        <w:tc>
          <w:tcPr>
            <w:tcW w:type="dxa" w:w="6696"/>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L1/L2/L3 verified at 390, 768, 1024, 1440 and 1920 px without document overflow.</w:t>
            </w:r>
          </w:p>
        </w:tc>
      </w:tr>
      <w:tr>
        <w:trPr>
          <w:cantSplit/>
        </w:trPr>
        <w:tc>
          <w:tcPr>
            <w:tcW w:type="dxa" w:w="259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Source naming drift</w:t>
            </w:r>
          </w:p>
        </w:tc>
        <w:tc>
          <w:tcPr>
            <w:tcW w:type="dxa" w:w="5112"/>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SER/MALR/ODN/PCR names and DC/CD/SOW/PSO/WMA numbering could conflict.</w:t>
            </w:r>
          </w:p>
        </w:tc>
        <w:tc>
          <w:tcPr>
            <w:tcW w:type="dxa" w:w="66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Controlled titles corrected; source discrepancies remain visible as QA notes.</w:t>
            </w:r>
          </w:p>
        </w:tc>
      </w:tr>
    </w:tbl>
    <w:p>
      <w:pPr>
        <w:sectPr>
          <w:pgSz w:w="15840" w:h="12240" w:orient="landscape"/>
          <w:pgMar w:top="648" w:right="691" w:bottom="691" w:left="691" w:header="360" w:footer="360" w:gutter="0"/>
          <w:cols w:space="720"/>
          <w:docGrid w:linePitch="360"/>
        </w:sectPr>
      </w:pPr>
    </w:p>
    <w:p>
      <w:pPr>
        <w:keepNext/>
        <w:spacing w:after="60"/>
      </w:pPr>
      <w:r>
        <w:rPr>
          <w:rFonts w:ascii="Aptos" w:hAnsi="Aptos" w:eastAsia="Arial Unicode MS"/>
          <w:b/>
          <w:color w:val="159A85"/>
          <w:sz w:val="16"/>
        </w:rPr>
        <w:t>08 / UI ACCEPTANCE</w:t>
      </w:r>
    </w:p>
    <w:p>
      <w:pPr>
        <w:pStyle w:val="Heading1"/>
      </w:pPr>
      <w:r>
        <w:t>Current UI acceptance result</w:t>
      </w:r>
    </w:p>
    <w:tbl>
      <w:tblPr>
        <w:tblW w:type="auto" w:w="0"/>
        <w:jc w:val="center"/>
        <w:tblLayout w:type="autofit"/>
        <w:tblLook w:firstColumn="1" w:firstRow="1" w:lastColumn="0" w:lastRow="0" w:noHBand="0" w:noVBand="1" w:val="04A0"/>
      </w:tblPr>
      <w:tblGrid>
        <w:gridCol w:w="2570"/>
        <w:gridCol w:w="2570"/>
        <w:gridCol w:w="2570"/>
        <w:gridCol w:w="2570"/>
      </w:tblGrid>
      <w:tr>
        <w:tc>
          <w:tcPr>
            <w:tcW w:type="dxa" w:w="2570"/>
            <w:shd w:fill="EEF5FB"/>
            <w:tcMar>
              <w:top w:w="120" w:type="dxa"/>
              <w:start w:w="100" w:type="dxa"/>
              <w:bottom w:w="115" w:type="dxa"/>
              <w:end w:w="100" w:type="dxa"/>
            </w:tcMar>
            <w:vAlign w:val="center"/>
          </w:tcPr>
          <w:p>
            <w:pPr>
              <w:spacing w:after="40"/>
              <w:jc w:val="center"/>
            </w:pPr>
            <w:r/>
            <w:r>
              <w:rPr>
                <w:rFonts w:ascii="Aptos" w:hAnsi="Aptos" w:eastAsia="Arial Unicode MS"/>
                <w:b/>
                <w:color w:val="0B1F33"/>
                <w:sz w:val="38"/>
              </w:rPr>
              <w:t>5</w:t>
            </w:r>
          </w:p>
          <w:p>
            <w:pPr>
              <w:spacing w:after="0"/>
              <w:jc w:val="center"/>
            </w:pPr>
            <w:r>
              <w:rPr>
                <w:rFonts w:ascii="Aptos" w:hAnsi="Aptos" w:eastAsia="Arial Unicode MS"/>
                <w:b/>
                <w:color w:val="5D6A7E"/>
                <w:sz w:val="14"/>
              </w:rPr>
              <w:t>verified viewport widths</w:t>
            </w:r>
          </w:p>
        </w:tc>
        <w:tc>
          <w:tcPr>
            <w:tcW w:type="dxa" w:w="2570"/>
            <w:shd w:fill="EAF7F3"/>
            <w:tcMar>
              <w:top w:w="120" w:type="dxa"/>
              <w:start w:w="100" w:type="dxa"/>
              <w:bottom w:w="115" w:type="dxa"/>
              <w:end w:w="100" w:type="dxa"/>
            </w:tcMar>
            <w:vAlign w:val="center"/>
          </w:tcPr>
          <w:p>
            <w:pPr>
              <w:spacing w:after="40"/>
              <w:jc w:val="center"/>
            </w:pPr>
            <w:r/>
            <w:r>
              <w:rPr>
                <w:rFonts w:ascii="Aptos" w:hAnsi="Aptos" w:eastAsia="Arial Unicode MS"/>
                <w:b/>
                <w:color w:val="0B1F33"/>
                <w:sz w:val="38"/>
              </w:rPr>
              <w:t>0</w:t>
            </w:r>
          </w:p>
          <w:p>
            <w:pPr>
              <w:spacing w:after="0"/>
              <w:jc w:val="center"/>
            </w:pPr>
            <w:r>
              <w:rPr>
                <w:rFonts w:ascii="Aptos" w:hAnsi="Aptos" w:eastAsia="Arial Unicode MS"/>
                <w:b/>
                <w:color w:val="5D6A7E"/>
                <w:sz w:val="14"/>
              </w:rPr>
              <w:t>document overflows</w:t>
            </w:r>
          </w:p>
        </w:tc>
        <w:tc>
          <w:tcPr>
            <w:tcW w:type="dxa" w:w="2570"/>
            <w:shd w:fill="FFF6E8"/>
            <w:tcMar>
              <w:top w:w="120" w:type="dxa"/>
              <w:start w:w="100" w:type="dxa"/>
              <w:bottom w:w="115" w:type="dxa"/>
              <w:end w:w="100" w:type="dxa"/>
            </w:tcMar>
            <w:vAlign w:val="center"/>
          </w:tcPr>
          <w:p>
            <w:pPr>
              <w:spacing w:after="40"/>
              <w:jc w:val="center"/>
            </w:pPr>
            <w:r/>
            <w:r>
              <w:rPr>
                <w:rFonts w:ascii="Aptos" w:hAnsi="Aptos" w:eastAsia="Arial Unicode MS"/>
                <w:b/>
                <w:color w:val="0B1F33"/>
                <w:sz w:val="38"/>
              </w:rPr>
              <w:t>0</w:t>
            </w:r>
          </w:p>
          <w:p>
            <w:pPr>
              <w:spacing w:after="0"/>
              <w:jc w:val="center"/>
            </w:pPr>
            <w:r>
              <w:rPr>
                <w:rFonts w:ascii="Aptos" w:hAnsi="Aptos" w:eastAsia="Arial Unicode MS"/>
                <w:b/>
                <w:color w:val="5D6A7E"/>
                <w:sz w:val="14"/>
              </w:rPr>
              <w:t>unnamed visible controls</w:t>
            </w:r>
          </w:p>
        </w:tc>
        <w:tc>
          <w:tcPr>
            <w:tcW w:type="dxa" w:w="2570"/>
            <w:shd w:fill="F0EEFA"/>
            <w:tcMar>
              <w:top w:w="120" w:type="dxa"/>
              <w:start w:w="100" w:type="dxa"/>
              <w:bottom w:w="115" w:type="dxa"/>
              <w:end w:w="100" w:type="dxa"/>
            </w:tcMar>
            <w:vAlign w:val="center"/>
          </w:tcPr>
          <w:p>
            <w:pPr>
              <w:spacing w:after="40"/>
              <w:jc w:val="center"/>
            </w:pPr>
            <w:r/>
            <w:r>
              <w:rPr>
                <w:rFonts w:ascii="Aptos" w:hAnsi="Aptos" w:eastAsia="Arial Unicode MS"/>
                <w:b/>
                <w:color w:val="0B1F33"/>
                <w:sz w:val="38"/>
              </w:rPr>
              <w:t>0</w:t>
            </w:r>
          </w:p>
          <w:p>
            <w:pPr>
              <w:spacing w:after="0"/>
              <w:jc w:val="center"/>
            </w:pPr>
            <w:r>
              <w:rPr>
                <w:rFonts w:ascii="Aptos" w:hAnsi="Aptos" w:eastAsia="Arial Unicode MS"/>
                <w:b/>
                <w:color w:val="5D6A7E"/>
                <w:sz w:val="14"/>
              </w:rPr>
              <w:t>clean-load request errors</w:t>
            </w:r>
          </w:p>
        </w:tc>
      </w:tr>
    </w:tbl>
    <w:p>
      <w:pPr>
        <w:spacing w:after="0"/>
      </w:pPr>
    </w:p>
    <w:p>
      <w:pPr>
        <w:pStyle w:val="ListBullet"/>
        <w:spacing w:after="50"/>
      </w:pPr>
      <w:r>
        <w:rPr>
          <w:rFonts w:ascii="Aptos" w:hAnsi="Aptos" w:eastAsia="Arial Unicode MS"/>
          <w:color w:val="172033"/>
          <w:sz w:val="18"/>
        </w:rPr>
        <w:t>L1 remains visually simple and includes a compact 13-step overview.</w:t>
      </w:r>
    </w:p>
    <w:p>
      <w:pPr>
        <w:pStyle w:val="ListBullet"/>
        <w:spacing w:after="50"/>
      </w:pPr>
      <w:r>
        <w:rPr>
          <w:rFonts w:ascii="Aptos" w:hAnsi="Aptos" w:eastAsia="Arial Unicode MS"/>
          <w:color w:val="172033"/>
          <w:sz w:val="18"/>
        </w:rPr>
        <w:t>L2 makes G1 and the bounded Commercial Pathway visually explicit.</w:t>
      </w:r>
    </w:p>
    <w:p>
      <w:pPr>
        <w:pStyle w:val="ListBullet"/>
        <w:spacing w:after="50"/>
      </w:pPr>
      <w:r>
        <w:rPr>
          <w:rFonts w:ascii="Aptos" w:hAnsi="Aptos" w:eastAsia="Arial Unicode MS"/>
          <w:color w:val="172033"/>
          <w:sz w:val="18"/>
        </w:rPr>
        <w:t>L3 exposes all documents, matrices, source notes and operational fields without changing L2 into a document dump.</w:t>
      </w:r>
    </w:p>
    <w:p>
      <w:pPr>
        <w:pStyle w:val="ListBullet"/>
        <w:spacing w:after="50"/>
      </w:pPr>
      <w:r>
        <w:rPr>
          <w:rFonts w:ascii="Aptos" w:hAnsi="Aptos" w:eastAsia="Arial Unicode MS"/>
          <w:color w:val="172033"/>
          <w:sz w:val="18"/>
        </w:rPr>
        <w:t>The mobile layout uses internal scrolling where required but never causes document-level horizontal overflow.</w:t>
      </w:r>
    </w:p>
    <w:p>
      <w:pPr>
        <w:pStyle w:val="ListBullet"/>
        <w:spacing w:after="50"/>
      </w:pPr>
      <w:r>
        <w:rPr>
          <w:rFonts w:ascii="Aptos" w:hAnsi="Aptos" w:eastAsia="Arial Unicode MS"/>
          <w:color w:val="172033"/>
          <w:sz w:val="18"/>
        </w:rPr>
        <w:t>Collaboration state is clearly labelled Off/Local until explicitly activated.</w:t>
      </w:r>
    </w:p>
    <w:p>
      <w:pPr>
        <w:pStyle w:val="ListBullet"/>
        <w:spacing w:after="50"/>
      </w:pPr>
      <w:r>
        <w:rPr>
          <w:rFonts w:ascii="Aptos" w:hAnsi="Aptos" w:eastAsia="Arial Unicode MS"/>
          <w:color w:val="172033"/>
          <w:sz w:val="18"/>
        </w:rPr>
        <w:t>Controlled forms show immediate blocker text when values regress after completion.</w:t>
      </w:r>
    </w:p>
    <w:p>
      <w:pPr>
        <w:sectPr>
          <w:pgSz w:w="12240" w:h="15840"/>
          <w:pgMar w:top="893" w:right="979" w:bottom="893" w:left="979" w:header="360" w:footer="360" w:gutter="0"/>
          <w:cols w:space="720"/>
          <w:docGrid w:linePitch="360"/>
        </w:sectPr>
      </w:pPr>
    </w:p>
    <w:p>
      <w:pPr>
        <w:keepNext/>
        <w:spacing w:after="60"/>
      </w:pPr>
      <w:r>
        <w:rPr>
          <w:rFonts w:ascii="Aptos" w:hAnsi="Aptos" w:eastAsia="Arial Unicode MS"/>
          <w:b/>
          <w:color w:val="159A85"/>
          <w:sz w:val="16"/>
        </w:rPr>
        <w:t>09 / MANAGEMENT DECISIONS RETAINED</w:t>
      </w:r>
    </w:p>
    <w:p>
      <w:pPr>
        <w:pStyle w:val="Heading1"/>
      </w:pPr>
      <w:r>
        <w:t>Explicit TBDs were preserved—not guessed</w:t>
      </w:r>
    </w:p>
    <w:p>
      <w:r>
        <w:rPr>
          <w:rFonts w:ascii="Aptos" w:hAnsi="Aptos" w:eastAsia="Arial Unicode MS"/>
          <w:i w:val="0"/>
          <w:color w:val="172033"/>
          <w:sz w:val="16"/>
        </w:rPr>
        <w:t>These items are copied from the Master Requirements TBD list. They require JF/Management/legal/commercial approval before the working control becomes final policy.</w:t>
      </w:r>
    </w:p>
    <w:tbl>
      <w:tblPr>
        <w:tblStyle w:val="TableGrid"/>
        <w:tblW w:type="auto" w:w="0"/>
        <w:jc w:val="center"/>
        <w:tblLook w:firstColumn="1" w:firstRow="1" w:lastColumn="0" w:lastRow="0" w:noHBand="0" w:noVBand="1" w:val="04A0"/>
        <w:tblLayout w:type="fixed"/>
      </w:tblPr>
      <w:tblGrid>
        <w:gridCol w:w="7229"/>
        <w:gridCol w:w="7229"/>
      </w:tblGrid>
      <w:tr>
        <w:trPr>
          <w:tblHeader w:val="true"/>
          <w:cantSplit/>
        </w:trPr>
        <w:tc>
          <w:tcPr>
            <w:tcW w:type="dxa" w:w="7056"/>
            <w:shd w:fill="B85D05"/>
            <w:tcMar>
              <w:top w:w="80" w:type="dxa"/>
              <w:start w:w="90" w:type="dxa"/>
              <w:bottom w:w="80" w:type="dxa"/>
              <w:end w:w="90" w:type="dxa"/>
            </w:tcMar>
            <w:vAlign w:val="center"/>
          </w:tcPr>
          <w:p>
            <w:pPr>
              <w:spacing w:after="0"/>
              <w:jc w:val="left"/>
            </w:pPr>
            <w:r/>
            <w:r>
              <w:rPr>
                <w:rFonts w:ascii="Aptos" w:hAnsi="Aptos" w:eastAsia="Arial Unicode MS"/>
                <w:b/>
                <w:color w:val="FFFFFF"/>
                <w:sz w:val="14"/>
              </w:rPr>
              <w:t>JF / Management TBD (source wording)</w:t>
            </w:r>
          </w:p>
        </w:tc>
        <w:tc>
          <w:tcPr>
            <w:tcW w:type="dxa" w:w="7200"/>
            <w:shd w:fill="B85D05"/>
            <w:tcMar>
              <w:top w:w="80" w:type="dxa"/>
              <w:start w:w="90" w:type="dxa"/>
              <w:bottom w:w="80" w:type="dxa"/>
              <w:end w:w="90" w:type="dxa"/>
            </w:tcMar>
            <w:vAlign w:val="center"/>
          </w:tcPr>
          <w:p>
            <w:pPr>
              <w:spacing w:after="0"/>
              <w:jc w:val="left"/>
            </w:pPr>
            <w:r/>
            <w:r>
              <w:rPr>
                <w:rFonts w:ascii="Aptos" w:hAnsi="Aptos" w:eastAsia="Arial Unicode MS"/>
                <w:b/>
                <w:color w:val="FFFFFF"/>
                <w:sz w:val="14"/>
              </w:rPr>
              <w:t>Current system treatment</w:t>
            </w:r>
          </w:p>
        </w:tc>
      </w:tr>
      <w:tr>
        <w:trPr>
          <w:cantSplit/>
        </w:trPr>
        <w:tc>
          <w:tcPr>
            <w:tcW w:type="dxa" w:w="7056"/>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41" name="Picture 41" descr="5 个 Primary Gate 的最终名称、边界、Gate Authority / GO-HOLD-RELEASE 权限。" title="JF source wording"/>
                  <wp:cNvGraphicFramePr>
                    <a:graphicFrameLocks noChangeAspect="1"/>
                  </wp:cNvGraphicFramePr>
                  <a:graphic>
                    <a:graphicData uri="http://schemas.openxmlformats.org/drawingml/2006/picture">
                      <pic:pic>
                        <pic:nvPicPr>
                          <pic:cNvPr id="0" name="tbd-01-e0e6941cda49.png"/>
                          <pic:cNvPicPr/>
                        </pic:nvPicPr>
                        <pic:blipFill>
                          <a:blip r:embed="rId53"/>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Working G1–G5 names and approval rows are visible; final authority remains management-controlled.</w:t>
            </w:r>
          </w:p>
        </w:tc>
      </w:tr>
      <w:tr>
        <w:trPr>
          <w:cantSplit/>
        </w:trPr>
        <w:tc>
          <w:tcPr>
            <w:tcW w:type="dxa" w:w="7056"/>
            <w:shd w:fill="F5F7FA"/>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42" name="Picture 42" descr="G2 的准确 trigger。" title="JF source wording"/>
                  <wp:cNvGraphicFramePr>
                    <a:graphicFrameLocks noChangeAspect="1"/>
                  </wp:cNvGraphicFramePr>
                  <a:graphic>
                    <a:graphicData uri="http://schemas.openxmlformats.org/drawingml/2006/picture">
                      <pic:pic>
                        <pic:nvPicPr>
                          <pic:cNvPr id="0" name="tbd-02-c966e11a0dc9.png"/>
                          <pic:cNvPicPr/>
                        </pic:nvPicPr>
                        <pic:blipFill>
                          <a:blip r:embed="rId54"/>
                          <a:stretch>
                            <a:fillRect/>
                          </a:stretch>
                        </pic:blipFill>
                        <pic:spPr>
                          <a:xfrm>
                            <a:off x="0" y="0"/>
                            <a:ext cx="4224528" cy="125510"/>
                          </a:xfrm>
                          <a:prstGeom prst="rect"/>
                        </pic:spPr>
                      </pic:pic>
                    </a:graphicData>
                  </a:graphic>
                </wp:inline>
              </w:drawing>
            </w:r>
          </w:p>
        </w:tc>
        <w:tc>
          <w:tcPr>
            <w:tcW w:type="dxa" w:w="720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G2 working conditions are present; exact contractual trigger is not declared final.</w:t>
            </w:r>
          </w:p>
        </w:tc>
      </w:tr>
      <w:tr>
        <w:trPr>
          <w:cantSplit/>
        </w:trPr>
        <w:tc>
          <w:tcPr>
            <w:tcW w:type="dxa" w:w="7056"/>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43" name="Picture 43" descr="Sales Agreement 的准确签署位置和与 supporting documents 的 hierarchy。" title="JF source wording"/>
                  <wp:cNvGraphicFramePr>
                    <a:graphicFrameLocks noChangeAspect="1"/>
                  </wp:cNvGraphicFramePr>
                  <a:graphic>
                    <a:graphicData uri="http://schemas.openxmlformats.org/drawingml/2006/picture">
                      <pic:pic>
                        <pic:nvPicPr>
                          <pic:cNvPr id="0" name="tbd-03-0f27a3f25508.png"/>
                          <pic:cNvPicPr/>
                        </pic:nvPicPr>
                        <pic:blipFill>
                          <a:blip r:embed="rId55"/>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SA is mapped across Commercial/G2/Readiness as Conditional; legal hierarchy remains open.</w:t>
            </w:r>
          </w:p>
        </w:tc>
      </w:tr>
      <w:tr>
        <w:trPr>
          <w:cantSplit/>
        </w:trPr>
        <w:tc>
          <w:tcPr>
            <w:tcW w:type="dxa" w:w="7056"/>
            <w:shd w:fill="F5F7FA"/>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44" name="Picture 44" descr="Shop Drawing Start 的正式 authorization / payment trigger。" title="JF source wording"/>
                  <wp:cNvGraphicFramePr>
                    <a:graphicFrameLocks noChangeAspect="1"/>
                  </wp:cNvGraphicFramePr>
                  <a:graphic>
                    <a:graphicData uri="http://schemas.openxmlformats.org/drawingml/2006/picture">
                      <pic:pic>
                        <pic:nvPicPr>
                          <pic:cNvPr id="0" name="tbd-04-1fa150b72655.png"/>
                          <pic:cNvPicPr/>
                        </pic:nvPicPr>
                        <pic:blipFill>
                          <a:blip r:embed="rId56"/>
                          <a:stretch>
                            <a:fillRect/>
                          </a:stretch>
                        </pic:blipFill>
                        <pic:spPr>
                          <a:xfrm>
                            <a:off x="0" y="0"/>
                            <a:ext cx="4224528" cy="125510"/>
                          </a:xfrm>
                          <a:prstGeom prst="rect"/>
                        </pic:spPr>
                      </pic:pic>
                    </a:graphicData>
                  </a:graphic>
                </wp:inline>
              </w:drawing>
            </w:r>
          </w:p>
        </w:tc>
        <w:tc>
          <w:tcPr>
            <w:tcW w:type="dxa" w:w="720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Represented as an L2 hard-control topic; no invented payment threshold.</w:t>
            </w:r>
          </w:p>
        </w:tc>
      </w:tr>
      <w:tr>
        <w:trPr>
          <w:cantSplit/>
        </w:trPr>
        <w:tc>
          <w:tcPr>
            <w:tcW w:type="dxa" w:w="7056"/>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45" name="Picture 45" descr="Permit Submission / Permit Issued / IFC 中哪个状态与 shop drawing / technical commitment 正式关联。" title="JF source wording"/>
                  <wp:cNvGraphicFramePr>
                    <a:graphicFrameLocks noChangeAspect="1"/>
                  </wp:cNvGraphicFramePr>
                  <a:graphic>
                    <a:graphicData uri="http://schemas.openxmlformats.org/drawingml/2006/picture">
                      <pic:pic>
                        <pic:nvPicPr>
                          <pic:cNvPr id="0" name="tbd-05-a7d283f61c64.png"/>
                          <pic:cNvPicPr/>
                        </pic:nvPicPr>
                        <pic:blipFill>
                          <a:blip r:embed="rId57"/>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All maturities are tracked separately from compatibility; final trigger remains open.</w:t>
            </w:r>
          </w:p>
        </w:tc>
      </w:tr>
      <w:tr>
        <w:trPr>
          <w:cantSplit/>
        </w:trPr>
        <w:tc>
          <w:tcPr>
            <w:tcW w:type="dxa" w:w="7056"/>
            <w:shd w:fill="F5F7FA"/>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46" name="Picture 46" descr="Class B / A 与 Issue for Permit / Issue for Construction 的正式对应关系。" title="JF source wording"/>
                  <wp:cNvGraphicFramePr>
                    <a:graphicFrameLocks noChangeAspect="1"/>
                  </wp:cNvGraphicFramePr>
                  <a:graphic>
                    <a:graphicData uri="http://schemas.openxmlformats.org/drawingml/2006/picture">
                      <pic:pic>
                        <pic:nvPicPr>
                          <pic:cNvPr id="0" name="tbd-06-aff6205f38f2.png"/>
                          <pic:cNvPicPr/>
                        </pic:nvPicPr>
                        <pic:blipFill>
                          <a:blip r:embed="rId58"/>
                          <a:stretch>
                            <a:fillRect/>
                          </a:stretch>
                        </pic:blipFill>
                        <pic:spPr>
                          <a:xfrm>
                            <a:off x="0" y="0"/>
                            <a:ext cx="4224528" cy="125510"/>
                          </a:xfrm>
                          <a:prstGeom prst="rect"/>
                        </pic:spPr>
                      </pic:pic>
                    </a:graphicData>
                  </a:graphic>
                </wp:inline>
              </w:drawing>
            </w:r>
          </w:p>
        </w:tc>
        <w:tc>
          <w:tcPr>
            <w:tcW w:type="dxa" w:w="720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CEC supports D/C/B/A evidence; no permanent B/A policy mapping is fabricated.</w:t>
            </w:r>
          </w:p>
        </w:tc>
      </w:tr>
      <w:tr>
        <w:trPr>
          <w:cantSplit/>
        </w:trPr>
        <w:tc>
          <w:tcPr>
            <w:tcW w:type="dxa" w:w="7056"/>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47" name="Picture 47" descr="Gate 1 最终 Mandatory / Optional / Conditional criteria 与 Owner Types。" title="JF source wording"/>
                  <wp:cNvGraphicFramePr>
                    <a:graphicFrameLocks noChangeAspect="1"/>
                  </wp:cNvGraphicFramePr>
                  <a:graphic>
                    <a:graphicData uri="http://schemas.openxmlformats.org/drawingml/2006/picture">
                      <pic:pic>
                        <pic:nvPicPr>
                          <pic:cNvPr id="0" name="tbd-07-263016ca78b6.png"/>
                          <pic:cNvPicPr/>
                        </pic:nvPicPr>
                        <pic:blipFill>
                          <a:blip r:embed="rId59"/>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Current minimum objective controls are implemented; configurable policy can evolve after sign-off.</w:t>
            </w:r>
          </w:p>
        </w:tc>
      </w:tr>
      <w:tr>
        <w:trPr>
          <w:cantSplit/>
        </w:trPr>
        <w:tc>
          <w:tcPr>
            <w:tcW w:type="dxa" w:w="7056"/>
            <w:shd w:fill="F5F7FA"/>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48" name="Picture 48" descr="No confirmed budget 但愿意付 feasibility / consultation 的客户能否过 Gate 1，以及限制。" title="JF source wording"/>
                  <wp:cNvGraphicFramePr>
                    <a:graphicFrameLocks noChangeAspect="1"/>
                  </wp:cNvGraphicFramePr>
                  <a:graphic>
                    <a:graphicData uri="http://schemas.openxmlformats.org/drawingml/2006/picture">
                      <pic:pic>
                        <pic:nvPicPr>
                          <pic:cNvPr id="0" name="tbd-08-5ece7851d09b.png"/>
                          <pic:cNvPicPr/>
                        </pic:nvPicPr>
                        <pic:blipFill>
                          <a:blip r:embed="rId60"/>
                          <a:stretch>
                            <a:fillRect/>
                          </a:stretch>
                        </pic:blipFill>
                        <pic:spPr>
                          <a:xfrm>
                            <a:off x="0" y="0"/>
                            <a:ext cx="4224528" cy="125510"/>
                          </a:xfrm>
                          <a:prstGeom prst="rect"/>
                        </pic:spPr>
                      </pic:pic>
                    </a:graphicData>
                  </a:graphic>
                </wp:inline>
              </w:drawing>
            </w:r>
          </w:p>
        </w:tc>
        <w:tc>
          <w:tcPr>
            <w:tcW w:type="dxa" w:w="720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Current engine permits paid-route qualification with a visible budget action; final policy remains open.</w:t>
            </w:r>
          </w:p>
        </w:tc>
      </w:tr>
      <w:tr>
        <w:trPr>
          <w:cantSplit/>
        </w:trPr>
        <w:tc>
          <w:tcPr>
            <w:tcW w:type="dxa" w:w="7056"/>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49" name="Picture 49" descr="Class C 的精确最低 entry requirements。" title="JF source wording"/>
                  <wp:cNvGraphicFramePr>
                    <a:graphicFrameLocks noChangeAspect="1"/>
                  </wp:cNvGraphicFramePr>
                  <a:graphic>
                    <a:graphicData uri="http://schemas.openxmlformats.org/drawingml/2006/picture">
                      <pic:pic>
                        <pic:nvPicPr>
                          <pic:cNvPr id="0" name="tbd-09-7851bed3e3ea.png"/>
                          <pic:cNvPicPr/>
                        </pic:nvPicPr>
                        <pic:blipFill>
                          <a:blip r:embed="rId61"/>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G2 contains a working Class C-ready basis; exact minimum remains a management decision.</w:t>
            </w:r>
          </w:p>
        </w:tc>
      </w:tr>
      <w:tr>
        <w:trPr>
          <w:cantSplit/>
        </w:trPr>
        <w:tc>
          <w:tcPr>
            <w:tcW w:type="dxa" w:w="7056"/>
            <w:shd w:fill="F5F7FA"/>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50" name="Picture 50" descr="Class D 的最终 assumptions / budget tolerance / ownership。" title="JF source wording"/>
                  <wp:cNvGraphicFramePr>
                    <a:graphicFrameLocks noChangeAspect="1"/>
                  </wp:cNvGraphicFramePr>
                  <a:graphic>
                    <a:graphicData uri="http://schemas.openxmlformats.org/drawingml/2006/picture">
                      <pic:pic>
                        <pic:nvPicPr>
                          <pic:cNvPr id="0" name="tbd-10-89adf7e95a54.png"/>
                          <pic:cNvPicPr/>
                        </pic:nvPicPr>
                        <pic:blipFill>
                          <a:blip r:embed="rId62"/>
                          <a:stretch>
                            <a:fillRect/>
                          </a:stretch>
                        </pic:blipFill>
                        <pic:spPr>
                          <a:xfrm>
                            <a:off x="0" y="0"/>
                            <a:ext cx="4224528" cy="125510"/>
                          </a:xfrm>
                          <a:prstGeom prst="rect"/>
                        </pic:spPr>
                      </pic:pic>
                    </a:graphicData>
                  </a:graphic>
                </wp:inline>
              </w:drawing>
            </w:r>
          </w:p>
        </w:tc>
        <w:tc>
          <w:tcPr>
            <w:tcW w:type="dxa" w:w="720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No formula/default is invented; tolerance is a configurable rule and CEC records assumptions.</w:t>
            </w:r>
          </w:p>
        </w:tc>
      </w:tr>
      <w:tr>
        <w:trPr>
          <w:cantSplit/>
        </w:trPr>
        <w:tc>
          <w:tcPr>
            <w:tcW w:type="dxa" w:w="7056"/>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51" name="Picture 51" descr="PCS future fee basis（JF 已质疑 module-based fee，讨论过 sq.ft. direction，但未 final）。" title="JF source wording"/>
                  <wp:cNvGraphicFramePr>
                    <a:graphicFrameLocks noChangeAspect="1"/>
                  </wp:cNvGraphicFramePr>
                  <a:graphic>
                    <a:graphicData uri="http://schemas.openxmlformats.org/drawingml/2006/picture">
                      <pic:pic>
                        <pic:nvPicPr>
                          <pic:cNvPr id="0" name="tbd-11-0f5dbc8767cd.png"/>
                          <pic:cNvPicPr/>
                        </pic:nvPicPr>
                        <pic:blipFill>
                          <a:blip r:embed="rId63"/>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PCS fee basis is document-controlled, not hard-coded.</w:t>
            </w:r>
          </w:p>
        </w:tc>
      </w:tr>
      <w:tr>
        <w:trPr>
          <w:cantSplit/>
        </w:trPr>
        <w:tc>
          <w:tcPr>
            <w:tcW w:type="dxa" w:w="7056"/>
            <w:shd w:fill="F5F7FA"/>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232655"/>
                  <wp:docPr id="52" name="Picture 52" descr="特殊客户 / Buttcon-type 低 preconstruction fee arrangement 的政策边界；现有个别金额不应自动成为公司政策。" title="JF source wording"/>
                  <wp:cNvGraphicFramePr>
                    <a:graphicFrameLocks noChangeAspect="1"/>
                  </wp:cNvGraphicFramePr>
                  <a:graphic>
                    <a:graphicData uri="http://schemas.openxmlformats.org/drawingml/2006/picture">
                      <pic:pic>
                        <pic:nvPicPr>
                          <pic:cNvPr id="0" name="tbd-12-f1b8862d60f0.png"/>
                          <pic:cNvPicPr/>
                        </pic:nvPicPr>
                        <pic:blipFill>
                          <a:blip r:embed="rId64"/>
                          <a:stretch>
                            <a:fillRect/>
                          </a:stretch>
                        </pic:blipFill>
                        <pic:spPr>
                          <a:xfrm>
                            <a:off x="0" y="0"/>
                            <a:ext cx="4224528" cy="232655"/>
                          </a:xfrm>
                          <a:prstGeom prst="rect"/>
                        </pic:spPr>
                      </pic:pic>
                    </a:graphicData>
                  </a:graphic>
                </wp:inline>
              </w:drawing>
            </w:r>
          </w:p>
        </w:tc>
        <w:tc>
          <w:tcPr>
            <w:tcW w:type="dxa" w:w="720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No customer-specific amount or policy is encoded.</w:t>
            </w:r>
          </w:p>
        </w:tc>
      </w:tr>
      <w:tr>
        <w:trPr>
          <w:cantSplit/>
        </w:trPr>
        <w:tc>
          <w:tcPr>
            <w:tcW w:type="dxa" w:w="7056"/>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53" name="Picture 53" descr="CSA / PCS / LOI 的 entry logic、signing authority、LOI governance。" title="JF source wording"/>
                  <wp:cNvGraphicFramePr>
                    <a:graphicFrameLocks noChangeAspect="1"/>
                  </wp:cNvGraphicFramePr>
                  <a:graphic>
                    <a:graphicData uri="http://schemas.openxmlformats.org/drawingml/2006/picture">
                      <pic:pic>
                        <pic:nvPicPr>
                          <pic:cNvPr id="0" name="tbd-13-1a512fbbc47d.png"/>
                          <pic:cNvPicPr/>
                        </pic:nvPicPr>
                        <pic:blipFill>
                          <a:blip r:embed="rId65"/>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Working bounded logic and signatures exist; business-rule/signing policy stays configurable.</w:t>
            </w:r>
          </w:p>
        </w:tc>
      </w:tr>
      <w:tr>
        <w:trPr>
          <w:cantSplit/>
        </w:trPr>
        <w:tc>
          <w:tcPr>
            <w:tcW w:type="dxa" w:w="7056"/>
            <w:shd w:fill="F5F7FA"/>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54" name="Picture 54" descr="Production Release / Purchasing Release 的绝对 prerequisite 和最终 approver。" title="JF source wording"/>
                  <wp:cNvGraphicFramePr>
                    <a:graphicFrameLocks noChangeAspect="1"/>
                  </wp:cNvGraphicFramePr>
                  <a:graphic>
                    <a:graphicData uri="http://schemas.openxmlformats.org/drawingml/2006/picture">
                      <pic:pic>
                        <pic:nvPicPr>
                          <pic:cNvPr id="0" name="tbd-14-a8dbe87eab7c.png"/>
                          <pic:cNvPicPr/>
                        </pic:nvPicPr>
                        <pic:blipFill>
                          <a:blip r:embed="rId66"/>
                          <a:stretch>
                            <a:fillRect/>
                          </a:stretch>
                        </pic:blipFill>
                        <pic:spPr>
                          <a:xfrm>
                            <a:off x="0" y="0"/>
                            <a:ext cx="4224528" cy="125510"/>
                          </a:xfrm>
                          <a:prstGeom prst="rect"/>
                        </pic:spPr>
                      </pic:pic>
                    </a:graphicData>
                  </a:graphic>
                </wp:inline>
              </w:drawing>
            </w:r>
          </w:p>
        </w:tc>
        <w:tc>
          <w:tcPr>
            <w:tcW w:type="dxa" w:w="720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G3/PSO/MPS controls are present; absolute prerequisite/approver awaits sign-off.</w:t>
            </w:r>
          </w:p>
        </w:tc>
      </w:tr>
      <w:tr>
        <w:trPr>
          <w:cantSplit/>
        </w:trPr>
        <w:tc>
          <w:tcPr>
            <w:tcW w:type="dxa" w:w="7056"/>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55" name="Picture 55" descr="Payment milestones 与各 release 的正式 hard-gate mapping。" title="JF source wording"/>
                  <wp:cNvGraphicFramePr>
                    <a:graphicFrameLocks noChangeAspect="1"/>
                  </wp:cNvGraphicFramePr>
                  <a:graphic>
                    <a:graphicData uri="http://schemas.openxmlformats.org/drawingml/2006/picture">
                      <pic:pic>
                        <pic:nvPicPr>
                          <pic:cNvPr id="0" name="tbd-15-b507067e4f8e.png"/>
                          <pic:cNvPicPr/>
                        </pic:nvPicPr>
                        <pic:blipFill>
                          <a:blip r:embed="rId67"/>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Payment remains a release condition placeholder; no amount or milestone is fabricated.</w:t>
            </w:r>
          </w:p>
        </w:tc>
      </w:tr>
      <w:tr>
        <w:trPr>
          <w:cantSplit/>
        </w:trPr>
        <w:tc>
          <w:tcPr>
            <w:tcW w:type="dxa" w:w="7056"/>
            <w:shd w:fill="F5F7FA"/>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56" name="Picture 56" descr="Warranty start / commissioning / handover 的正式 contractual trigger，以及不同 warranty 是否不同起点。" title="JF source wording"/>
                  <wp:cNvGraphicFramePr>
                    <a:graphicFrameLocks noChangeAspect="1"/>
                  </wp:cNvGraphicFramePr>
                  <a:graphic>
                    <a:graphicData uri="http://schemas.openxmlformats.org/drawingml/2006/picture">
                      <pic:pic>
                        <pic:nvPicPr>
                          <pic:cNvPr id="0" name="tbd-16-7f7bad6493ff.png"/>
                          <pic:cNvPicPr/>
                        </pic:nvPicPr>
                        <pic:blipFill>
                          <a:blip r:embed="rId68"/>
                          <a:stretch>
                            <a:fillRect/>
                          </a:stretch>
                        </pic:blipFill>
                        <pic:spPr>
                          <a:xfrm>
                            <a:off x="0" y="0"/>
                            <a:ext cx="4224528" cy="125510"/>
                          </a:xfrm>
                          <a:prstGeom prst="rect"/>
                        </pic:spPr>
                      </pic:pic>
                    </a:graphicData>
                  </a:graphic>
                </wp:inline>
              </w:drawing>
            </w:r>
          </w:p>
        </w:tc>
        <w:tc>
          <w:tcPr>
            <w:tcW w:type="dxa" w:w="720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G5/WMA/closeout track the basis and dates; contractual trigger remains project/policy controlled.</w:t>
            </w:r>
          </w:p>
        </w:tc>
      </w:tr>
      <w:tr>
        <w:trPr>
          <w:cantSplit/>
        </w:trPr>
        <w:tc>
          <w:tcPr>
            <w:tcW w:type="dxa" w:w="7056"/>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57" name="Picture 57" descr="Customer / Project / Job Number / Development / Building hierarchy 与 Job Number trigger。" title="JF source wording"/>
                  <wp:cNvGraphicFramePr>
                    <a:graphicFrameLocks noChangeAspect="1"/>
                  </wp:cNvGraphicFramePr>
                  <a:graphic>
                    <a:graphicData uri="http://schemas.openxmlformats.org/drawingml/2006/picture">
                      <pic:pic>
                        <pic:nvPicPr>
                          <pic:cNvPr id="0" name="tbd-17-44fe04df8b60.png"/>
                          <pic:cNvPicPr/>
                        </pic:nvPicPr>
                        <pic:blipFill>
                          <a:blip r:embed="rId69"/>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Current project identifier supports the workflow; final enterprise hierarchy remains separate work.</w:t>
            </w:r>
          </w:p>
        </w:tc>
      </w:tr>
      <w:tr>
        <w:trPr>
          <w:cantSplit/>
        </w:trPr>
        <w:tc>
          <w:tcPr>
            <w:tcW w:type="dxa" w:w="7056"/>
            <w:shd w:fill="F5F7FA"/>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58" name="Picture 58" descr="Time-tracking alert threshold、recipient、action、client notification logic。" title="JF source wording"/>
                  <wp:cNvGraphicFramePr>
                    <a:graphicFrameLocks noChangeAspect="1"/>
                  </wp:cNvGraphicFramePr>
                  <a:graphic>
                    <a:graphicData uri="http://schemas.openxmlformats.org/drawingml/2006/picture">
                      <pic:pic>
                        <pic:nvPicPr>
                          <pic:cNvPr id="0" name="tbd-18-d92b7905729f.png"/>
                          <pic:cNvPicPr/>
                        </pic:nvPicPr>
                        <pic:blipFill>
                          <a:blip r:embed="rId70"/>
                          <a:stretch>
                            <a:fillRect/>
                          </a:stretch>
                        </pic:blipFill>
                        <pic:spPr>
                          <a:xfrm>
                            <a:off x="0" y="0"/>
                            <a:ext cx="4224528" cy="125510"/>
                          </a:xfrm>
                          <a:prstGeom prst="rect"/>
                        </pic:spPr>
                      </pic:pic>
                    </a:graphicData>
                  </a:graphic>
                </wp:inline>
              </w:drawing>
            </w:r>
          </w:p>
        </w:tc>
        <w:tc>
          <w:tcPr>
            <w:tcW w:type="dxa" w:w="7200"/>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Lifecycle status supports future reporting; threshold/notification policy is not invented in this release.</w:t>
            </w:r>
          </w:p>
        </w:tc>
      </w:tr>
      <w:tr>
        <w:trPr>
          <w:cantSplit/>
        </w:trPr>
        <w:tc>
          <w:tcPr>
            <w:tcW w:type="dxa" w:w="7056"/>
            <w:tcMar>
              <w:top w:w="65" w:type="dxa"/>
              <w:start w:w="80" w:type="dxa"/>
              <w:bottom w:w="65" w:type="dxa"/>
              <w:end w:w="80" w:type="dxa"/>
            </w:tcMar>
            <w:vAlign w:val="top"/>
          </w:tcPr>
          <w:p>
            <w:pPr>
              <w:spacing w:after="0" w:line="245" w:lineRule="auto"/>
            </w:pPr>
            <w:r/>
            <w:r>
              <w:drawing>
                <wp:inline xmlns:a="http://schemas.openxmlformats.org/drawingml/2006/main" xmlns:pic="http://schemas.openxmlformats.org/drawingml/2006/picture">
                  <wp:extent cx="4224528" cy="125510"/>
                  <wp:docPr id="59" name="Picture 59" descr="最终 IT deployment / corporate integration。" title="JF source wording"/>
                  <wp:cNvGraphicFramePr>
                    <a:graphicFrameLocks noChangeAspect="1"/>
                  </wp:cNvGraphicFramePr>
                  <a:graphic>
                    <a:graphicData uri="http://schemas.openxmlformats.org/drawingml/2006/picture">
                      <pic:pic>
                        <pic:nvPicPr>
                          <pic:cNvPr id="0" name="tbd-19-ed5049233403.png"/>
                          <pic:cNvPicPr/>
                        </pic:nvPicPr>
                        <pic:blipFill>
                          <a:blip r:embed="rId71"/>
                          <a:stretch>
                            <a:fillRect/>
                          </a:stretch>
                        </pic:blipFill>
                        <pic:spPr>
                          <a:xfrm>
                            <a:off x="0" y="0"/>
                            <a:ext cx="4224528" cy="125510"/>
                          </a:xfrm>
                          <a:prstGeom prst="rect"/>
                        </pic:spPr>
                      </pic:pic>
                    </a:graphicData>
                  </a:graphic>
                </wp:inline>
              </w:drawing>
            </w:r>
          </w:p>
        </w:tc>
        <w:tc>
          <w:tcPr>
            <w:tcW w:type="dxa" w:w="7200"/>
            <w:tcMar>
              <w:top w:w="65" w:type="dxa"/>
              <w:start w:w="80" w:type="dxa"/>
              <w:bottom w:w="65" w:type="dxa"/>
              <w:end w:w="80" w:type="dxa"/>
            </w:tcMar>
            <w:vAlign w:val="top"/>
          </w:tcPr>
          <w:p>
            <w:pPr>
              <w:spacing w:after="0" w:line="245" w:lineRule="auto"/>
            </w:pPr>
            <w:r/>
            <w:r>
              <w:rPr>
                <w:rFonts w:ascii="Aptos" w:hAnsi="Aptos" w:eastAsia="Arial Unicode MS"/>
                <w:b w:val="0"/>
                <w:color w:val="172033"/>
                <w:sz w:val="14"/>
              </w:rPr>
              <w:t>Proof of concept remains local/web-ready; enterprise integration is intentionally outside this deliverable.</w:t>
            </w:r>
          </w:p>
        </w:tc>
      </w:tr>
    </w:tbl>
    <w:p>
      <w:pPr>
        <w:sectPr>
          <w:pgSz w:w="15840" w:h="12240" w:orient="landscape"/>
          <w:pgMar w:top="648" w:right="691" w:bottom="691" w:left="691" w:header="360" w:footer="360" w:gutter="0"/>
          <w:cols w:space="720"/>
          <w:docGrid w:linePitch="360"/>
        </w:sectPr>
      </w:pPr>
    </w:p>
    <w:p>
      <w:pPr>
        <w:keepNext/>
        <w:spacing w:after="60"/>
      </w:pPr>
      <w:r>
        <w:rPr>
          <w:rFonts w:ascii="Aptos" w:hAnsi="Aptos" w:eastAsia="Arial Unicode MS"/>
          <w:b/>
          <w:color w:val="159A85"/>
          <w:sz w:val="16"/>
        </w:rPr>
        <w:t>10 / ACCEPTANCE CONCLUSION</w:t>
      </w:r>
    </w:p>
    <w:p>
      <w:pPr>
        <w:pStyle w:val="Heading1"/>
      </w:pPr>
      <w:r>
        <w:t>Ready for controlled review and project replay</w:t>
      </w:r>
    </w:p>
    <w:tbl>
      <w:tblPr>
        <w:tblW w:type="auto" w:w="0"/>
        <w:jc w:val="center"/>
        <w:tblLayout w:type="autofit"/>
        <w:tblLook w:firstColumn="1" w:firstRow="1" w:lastColumn="0" w:lastRow="0" w:noHBand="0" w:noVBand="1" w:val="04A0"/>
      </w:tblPr>
      <w:tblGrid>
        <w:gridCol w:w="10282"/>
      </w:tblGrid>
      <w:tr>
        <w:tc>
          <w:tcPr>
            <w:tcW w:type="dxa" w:w="10282"/>
            <w:shd w:fill="EAF7F3"/>
            <w:tcMar>
              <w:top w:w="120" w:type="dxa"/>
              <w:start w:w="150" w:type="dxa"/>
              <w:bottom w:w="120" w:type="dxa"/>
              <w:end w:w="150" w:type="dxa"/>
            </w:tcMar>
          </w:tcPr>
          <w:p>
            <w:pPr>
              <w:spacing w:after="60"/>
            </w:pPr>
            <w:r/>
            <w:r>
              <w:rPr>
                <w:rFonts w:ascii="Aptos" w:hAnsi="Aptos" w:eastAsia="Arial Unicode MS"/>
                <w:b/>
                <w:color w:val="0F7B5A"/>
                <w:sz w:val="20"/>
              </w:rPr>
              <w:t>Acceptance position</w:t>
            </w:r>
          </w:p>
          <w:p>
            <w:pPr>
              <w:spacing w:after="0" w:line="259" w:lineRule="auto"/>
            </w:pPr>
            <w:r>
              <w:rPr>
                <w:rFonts w:ascii="Aptos" w:hAnsi="Aptos" w:eastAsia="Arial Unicode MS"/>
                <w:color w:val="172033"/>
                <w:sz w:val="17"/>
              </w:rPr>
              <w:t>All source-definable lifecycle, Gate 1, form-register, matrix and completion-control requirements in scope are implemented and verified. The remaining limitations are not hidden software defects: they are damaged/missing source artifacts, explicitly open management policies, and enterprise modules intentionally outside this lifecycle release.</w:t>
            </w:r>
          </w:p>
        </w:tc>
      </w:tr>
    </w:tbl>
    <w:p>
      <w:pPr>
        <w:spacing w:after="0"/>
      </w:pPr>
    </w:p>
    <w:p>
      <w:pPr>
        <w:pStyle w:val="Heading2"/>
      </w:pPr>
      <w:r>
        <w:t>Recommended next controlled actions</w:t>
      </w:r>
    </w:p>
    <w:p>
      <w:pPr>
        <w:pStyle w:val="ListBullet"/>
        <w:spacing w:after="50"/>
      </w:pPr>
      <w:r>
        <w:rPr>
          <w:rFonts w:ascii="Aptos" w:hAnsi="Aptos" w:eastAsia="Arial Unicode MS"/>
          <w:color w:val="172033"/>
          <w:sz w:val="18"/>
        </w:rPr>
        <w:t>JF/Management reviews and signs the 19 retained TBD decisions in Section 9.</w:t>
      </w:r>
    </w:p>
    <w:p>
      <w:pPr>
        <w:pStyle w:val="ListBullet"/>
        <w:spacing w:after="50"/>
      </w:pPr>
      <w:r>
        <w:rPr>
          <w:rFonts w:ascii="Aptos" w:hAnsi="Aptos" w:eastAsia="Arial Unicode MS"/>
          <w:color w:val="172033"/>
          <w:sz w:val="18"/>
        </w:rPr>
        <w:t>Document Control replaces the 30 index-only records with approved bilingual source masters as those templates are formally issued.</w:t>
      </w:r>
    </w:p>
    <w:p>
      <w:pPr>
        <w:pStyle w:val="ListBullet"/>
        <w:spacing w:after="50"/>
      </w:pPr>
      <w:r>
        <w:rPr>
          <w:rFonts w:ascii="Aptos" w:hAnsi="Aptos" w:eastAsia="Arial Unicode MS"/>
          <w:color w:val="172033"/>
          <w:sz w:val="18"/>
        </w:rPr>
        <w:t>The source owner repairs/re-exports Combined Forms.pdf pages 179–193 and resolves controlled numbering discrepancies.</w:t>
      </w:r>
    </w:p>
    <w:p>
      <w:pPr>
        <w:pStyle w:val="ListBullet"/>
        <w:spacing w:after="50"/>
      </w:pPr>
      <w:r>
        <w:rPr>
          <w:rFonts w:ascii="Aptos" w:hAnsi="Aptos" w:eastAsia="Arial Unicode MS"/>
          <w:color w:val="172033"/>
          <w:sz w:val="18"/>
        </w:rPr>
        <w:t>Run one past-project replay and one live-project soft launch; capture real hold durations, role conflicts and missing evidence before broad rollout.</w:t>
      </w:r>
    </w:p>
    <w:p>
      <w:pPr>
        <w:pStyle w:val="ListBullet"/>
        <w:spacing w:after="50"/>
      </w:pPr>
      <w:r>
        <w:rPr>
          <w:rFonts w:ascii="Aptos" w:hAnsi="Aptos" w:eastAsia="Arial Unicode MS"/>
          <w:color w:val="172033"/>
          <w:sz w:val="18"/>
        </w:rPr>
        <w:t>After policy sign-off, lock the final Gate authority, payment/release mapping, warranty triggers and enterprise ID/time-tracking integration.</w:t>
      </w:r>
    </w:p>
    <w:p>
      <w:pPr>
        <w:pStyle w:val="Heading2"/>
      </w:pPr>
      <w:r>
        <w:t>Definition of done achieved in this release</w:t>
      </w:r>
    </w:p>
    <w:tbl>
      <w:tblPr>
        <w:tblStyle w:val="TableGrid"/>
        <w:tblW w:type="auto" w:w="0"/>
        <w:jc w:val="center"/>
        <w:tblLook w:firstColumn="1" w:firstRow="1" w:lastColumn="0" w:lastRow="0" w:noHBand="0" w:noVBand="1" w:val="04A0"/>
        <w:tblLayout w:type="fixed"/>
      </w:tblPr>
      <w:tblGrid>
        <w:gridCol w:w="5141"/>
        <w:gridCol w:w="5141"/>
      </w:tblGrid>
      <w:tr>
        <w:trPr>
          <w:tblHeader w:val="true"/>
          <w:cantSplit/>
        </w:trPr>
        <w:tc>
          <w:tcPr>
            <w:tcW w:type="dxa" w:w="3024"/>
            <w:shd w:fill="0F7B5A"/>
            <w:tcMar>
              <w:top w:w="80" w:type="dxa"/>
              <w:start w:w="90" w:type="dxa"/>
              <w:bottom w:w="80" w:type="dxa"/>
              <w:end w:w="90" w:type="dxa"/>
            </w:tcMar>
            <w:vAlign w:val="center"/>
          </w:tcPr>
          <w:p>
            <w:pPr>
              <w:spacing w:after="0"/>
              <w:jc w:val="left"/>
            </w:pPr>
            <w:r/>
            <w:r>
              <w:rPr>
                <w:rFonts w:ascii="Aptos" w:hAnsi="Aptos" w:eastAsia="Arial Unicode MS"/>
                <w:b/>
                <w:color w:val="FFFFFF"/>
                <w:sz w:val="16"/>
              </w:rPr>
              <w:t>Acceptance criterion</w:t>
            </w:r>
          </w:p>
        </w:tc>
        <w:tc>
          <w:tcPr>
            <w:tcW w:type="dxa" w:w="6696"/>
            <w:shd w:fill="0F7B5A"/>
            <w:tcMar>
              <w:top w:w="80" w:type="dxa"/>
              <w:start w:w="90" w:type="dxa"/>
              <w:bottom w:w="80" w:type="dxa"/>
              <w:end w:w="90" w:type="dxa"/>
            </w:tcMar>
            <w:vAlign w:val="center"/>
          </w:tcPr>
          <w:p>
            <w:pPr>
              <w:spacing w:after="0"/>
              <w:jc w:val="left"/>
            </w:pPr>
            <w:r/>
            <w:r>
              <w:rPr>
                <w:rFonts w:ascii="Aptos" w:hAnsi="Aptos" w:eastAsia="Arial Unicode MS"/>
                <w:b/>
                <w:color w:val="FFFFFF"/>
                <w:sz w:val="16"/>
              </w:rPr>
              <w:t>Result</w:t>
            </w:r>
          </w:p>
        </w:tc>
      </w:tr>
      <w:tr>
        <w:trPr>
          <w:cantSplit/>
        </w:trPr>
        <w:tc>
          <w:tcPr>
            <w:tcW w:type="dxa" w:w="3024"/>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Three layers connected</w:t>
            </w:r>
          </w:p>
        </w:tc>
        <w:tc>
          <w:tcPr>
            <w:tcW w:type="dxa" w:w="6696"/>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Yes — 13 L1 nodes link to 14 L2 nodes; every L3 record has a valid L2 home/touchpoint.</w:t>
            </w:r>
          </w:p>
        </w:tc>
      </w:tr>
      <w:tr>
        <w:trPr>
          <w:cantSplit/>
        </w:trPr>
        <w:tc>
          <w:tcPr>
            <w:tcW w:type="dxa" w:w="302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All forms in L3</w:t>
            </w:r>
          </w:p>
        </w:tc>
        <w:tc>
          <w:tcPr>
            <w:tcW w:type="dxa" w:w="66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Yes — 52/52 controlled records, including supplemental SMO.</w:t>
            </w:r>
          </w:p>
        </w:tc>
      </w:tr>
      <w:tr>
        <w:trPr>
          <w:cantSplit/>
        </w:trPr>
        <w:tc>
          <w:tcPr>
            <w:tcW w:type="dxa" w:w="3024"/>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Matrices in L3</w:t>
            </w:r>
          </w:p>
        </w:tc>
        <w:tc>
          <w:tcPr>
            <w:tcW w:type="dxa" w:w="6696"/>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Yes — 57-row Approval Matrix and 18-row Responsibility Matrix.</w:t>
            </w:r>
          </w:p>
        </w:tc>
      </w:tr>
      <w:tr>
        <w:trPr>
          <w:cantSplit/>
        </w:trPr>
        <w:tc>
          <w:tcPr>
            <w:tcW w:type="dxa" w:w="302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Non-compliant client blocking</w:t>
            </w:r>
          </w:p>
        </w:tc>
        <w:tc>
          <w:tcPr>
            <w:tcW w:type="dxa" w:w="66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Yes — authority, decision group, scale, fatal site, modular compatibility, route and engagement hard controls.</w:t>
            </w:r>
          </w:p>
        </w:tc>
      </w:tr>
      <w:tr>
        <w:trPr>
          <w:cantSplit/>
        </w:trPr>
        <w:tc>
          <w:tcPr>
            <w:tcW w:type="dxa" w:w="3024"/>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Form loophole blocking</w:t>
            </w:r>
          </w:p>
        </w:tc>
        <w:tc>
          <w:tcPr>
            <w:tcW w:type="dxa" w:w="6696"/>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Yes — fields, applicability, N/A evidence, signature, approval, task and deletion protections.</w:t>
            </w:r>
          </w:p>
        </w:tc>
      </w:tr>
      <w:tr>
        <w:trPr>
          <w:cantSplit/>
        </w:trPr>
        <w:tc>
          <w:tcPr>
            <w:tcW w:type="dxa" w:w="3024"/>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UI/bug review</w:t>
            </w:r>
          </w:p>
        </w:tc>
        <w:tc>
          <w:tcPr>
            <w:tcW w:type="dxa" w:w="6696"/>
            <w:shd w:fill="F5F7FA"/>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Yes — responsive, accessible, clean-load and production-build checks passed.</w:t>
            </w:r>
          </w:p>
        </w:tc>
      </w:tr>
      <w:tr>
        <w:trPr>
          <w:cantSplit/>
        </w:trPr>
        <w:tc>
          <w:tcPr>
            <w:tcW w:type="dxa" w:w="3024"/>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No invented policy</w:t>
            </w:r>
          </w:p>
        </w:tc>
        <w:tc>
          <w:tcPr>
            <w:tcW w:type="dxa" w:w="6696"/>
            <w:tcMar>
              <w:top w:w="65" w:type="dxa"/>
              <w:start w:w="80" w:type="dxa"/>
              <w:bottom w:w="65" w:type="dxa"/>
              <w:end w:w="80" w:type="dxa"/>
            </w:tcMar>
            <w:vAlign w:val="top"/>
          </w:tcPr>
          <w:p>
            <w:pPr>
              <w:spacing w:after="0" w:line="245" w:lineRule="auto"/>
            </w:pPr>
            <w:r/>
            <w:r>
              <w:rPr>
                <w:rFonts w:ascii="Aptos" w:hAnsi="Aptos" w:eastAsia="Arial Unicode MS"/>
                <w:b w:val="0"/>
                <w:color w:val="172033"/>
                <w:sz w:val="16"/>
              </w:rPr>
              <w:t>Yes — all explicit source TBDs remain visible for authorized decision.</w:t>
            </w:r>
          </w:p>
        </w:tc>
      </w:tr>
    </w:tbl>
    <w:p>
      <w:r>
        <w:rPr>
          <w:rFonts w:ascii="Aptos" w:hAnsi="Aptos" w:eastAsia="Arial Unicode MS"/>
          <w:i/>
          <w:color w:val="5D6A7E"/>
          <w:sz w:val="16"/>
        </w:rPr>
        <w:t>End of controlled report.</w:t>
      </w:r>
    </w:p>
    <w:sectPr w:rsidR="00FC693F" w:rsidRPr="0006063C" w:rsidSect="00034616">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eastAsia="Arial Unicode MS"/>
        <w:color w:val="5D6A7E"/>
        <w:sz w:val="16"/>
      </w:rPr>
      <w:t xml:space="preserve">Controlled review copy  •  30 August 2026  |  </w:t>
    </w:r>
    <w:r>
      <w:rPr>
        <w:rFonts w:ascii="Aptos" w:hAnsi="Aptos" w:eastAsia="Arial Unicode MS"/>
        <w:color w:val="5D6A7E"/>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eastAsia="Arial Unicode MS"/>
        <w:b/>
        <w:color w:val="1F5A94"/>
        <w:sz w:val="15"/>
      </w:rPr>
      <w:t>PROFAB  /  PROJECT LIFECYCLE CONTROL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rial Unicode MS"/>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ptos" w:hAnsi="Aptos" w:eastAsia="Arial Unicode MS"/>
      <w:b/>
      <w:bCs/>
      <w:color w:val="0B1F33"/>
      <w:sz w:val="4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eastAsia="Arial Unicode MS"/>
      <w:b/>
      <w:bCs/>
      <w:color w:val="1F5A94"/>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rial Unicode MS"/>
      <w:b/>
      <w:bCs/>
      <w:color w:val="159A8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w:hAnsi="Aptos" w:eastAsia="Arial Unicode MS"/>
      <w:b/>
      <w:color w:val="0B1F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ptos" w:hAnsi="Aptos" w:eastAsia="Arial Unicode MS"/>
      <w:b/>
      <w:bCs/>
      <w:i/>
      <w:color w:val="5D6A7E"/>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PROFAB Project Lifecycle — JF Requirements Traceability &amp; Verification</dc:title>
  <dc:subject>L1/L2/L3 lifecycle, controlled forms, matrices, testing and QA</dc:subject>
  <dc:creator>PROFAB workflow implementation review</dc:creator>
  <cp:keywords>PROFAB, JF, workflow, lifecycle, Gate 1, L3 forms, traceability</cp:keywords>
  <dc:description>generated by python-docx</dc:description>
  <cp:lastModifiedBy/>
  <cp:revision>1</cp:revision>
  <dcterms:created xsi:type="dcterms:W3CDTF">2013-12-23T23:15:00Z</dcterms:created>
  <dcterms:modified xsi:type="dcterms:W3CDTF">2013-12-23T23:15:00Z</dcterms:modified>
  <cp:category/>
</cp:coreProperties>
</file>