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Calibri" w:hAnsi="Calibri" w:eastAsia="Calibri"/>
          <w:b/>
          <w:color w:val="177A77"/>
          <w:sz w:val="20"/>
        </w:rPr>
        <w:t>PROFAB PROJECT WORKFLOW BUILDER</w:t>
      </w:r>
    </w:p>
    <w:p>
      <w:pPr>
        <w:pStyle w:val="Title"/>
        <w:spacing w:after="160"/>
      </w:pPr>
      <w:r>
        <w:rPr>
          <w:rFonts w:ascii="Calibri" w:hAnsi="Calibri" w:eastAsia="Calibri"/>
          <w:b/>
          <w:color w:val="0B2545"/>
          <w:sz w:val="50"/>
        </w:rPr>
        <w:t>JF Requirements-to-System Traceability Report</w:t>
      </w:r>
    </w:p>
    <w:p>
      <w:pPr>
        <w:pStyle w:val="Subtitle"/>
      </w:pPr>
      <w:r>
        <w:rPr>
          <w:rFonts w:ascii="Calibri" w:hAnsi="Calibri" w:eastAsia="Calibri"/>
          <w:color w:val="5B6472"/>
          <w:sz w:val="28"/>
        </w:rPr>
        <w:t>ProFab Project Workflow Builder — L1 / L2 / L3</w:t>
      </w:r>
    </w:p>
    <w:p>
      <w:pPr>
        <w:spacing w:after="360"/>
        <w:pBdr>
          <w:bottom w:val="single" w:sz="12" w:space="8" w:color="2E74B5"/>
        </w:pBdr>
      </w:pPr>
      <w:r>
        <w:rPr>
          <w:rFonts w:ascii="Calibri" w:hAnsi="Calibri" w:eastAsia="Calibri"/>
          <w:b w:val="0"/>
          <w:i w:val="0"/>
          <w:color w:val="111827"/>
          <w:sz w:val="23"/>
        </w:rPr>
        <w:t>A one-to-one traceability review of JF requirements against the implemented three-layer workflow system.</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1650"/>
        <w:gridCol w:w="7710"/>
      </w:tblGrid>
      <w:tr>
        <w:trPr>
          <w:tblHeader w:val="true"/>
        </w:trPr>
        <w:tc>
          <w:tcPr>
            <w:tcW w:type="dxa" w:w="1650"/>
            <w:tcMar>
              <w:top w:w="80" w:type="dxa"/>
              <w:start w:w="120" w:type="dxa"/>
              <w:bottom w:w="80" w:type="dxa"/>
              <w:end w:w="120" w:type="dxa"/>
            </w:tcMar>
            <w:vAlign w:val="center"/>
            <w:shd w:fill="F2F4F7" w:val="clear"/>
          </w:tcPr>
          <w:p>
            <w:pPr>
              <w:spacing w:after="0"/>
            </w:pPr>
            <w:r>
              <w:rPr>
                <w:rFonts w:ascii="Calibri" w:hAnsi="Calibri" w:eastAsia="Calibri"/>
                <w:b/>
                <w:color w:val="0B2545"/>
                <w:sz w:val="19"/>
              </w:rPr>
              <w:t>Prepared</w:t>
            </w:r>
          </w:p>
        </w:tc>
        <w:tc>
          <w:tcPr>
            <w:tcW w:type="dxa" w:w="7710"/>
            <w:tcMar>
              <w:top w:w="80" w:type="dxa"/>
              <w:start w:w="120" w:type="dxa"/>
              <w:bottom w:w="80" w:type="dxa"/>
              <w:end w:w="120" w:type="dxa"/>
            </w:tcMar>
            <w:vAlign w:val="center"/>
          </w:tcPr>
          <w:p>
            <w:pPr>
              <w:spacing w:after="0"/>
            </w:pPr>
            <w:r>
              <w:rPr>
                <w:rFonts w:ascii="Calibri" w:hAnsi="Calibri" w:eastAsia="Calibri"/>
                <w:color w:val="111827"/>
                <w:sz w:val="19"/>
              </w:rPr>
              <w:t>31 August 2026</w:t>
            </w:r>
          </w:p>
        </w:tc>
      </w:tr>
      <w:tr>
        <w:tc>
          <w:tcPr>
            <w:tcW w:type="dxa" w:w="1650"/>
            <w:tcMar>
              <w:top w:w="80" w:type="dxa"/>
              <w:start w:w="120" w:type="dxa"/>
              <w:bottom w:w="80" w:type="dxa"/>
              <w:end w:w="120" w:type="dxa"/>
            </w:tcMar>
            <w:vAlign w:val="center"/>
            <w:shd w:fill="F2F4F7" w:val="clear"/>
          </w:tcPr>
          <w:p>
            <w:pPr>
              <w:spacing w:after="0"/>
            </w:pPr>
            <w:r>
              <w:rPr>
                <w:rFonts w:ascii="Calibri" w:hAnsi="Calibri" w:eastAsia="Calibri"/>
                <w:b/>
                <w:color w:val="0B2545"/>
                <w:sz w:val="19"/>
              </w:rPr>
              <w:t>Status</w:t>
            </w:r>
          </w:p>
        </w:tc>
        <w:tc>
          <w:tcPr>
            <w:tcW w:type="dxa" w:w="7710"/>
            <w:tcMar>
              <w:top w:w="80" w:type="dxa"/>
              <w:start w:w="120" w:type="dxa"/>
              <w:bottom w:w="80" w:type="dxa"/>
              <w:end w:w="120" w:type="dxa"/>
            </w:tcMar>
            <w:vAlign w:val="center"/>
          </w:tcPr>
          <w:p>
            <w:pPr>
              <w:spacing w:after="0"/>
            </w:pPr>
            <w:r>
              <w:rPr>
                <w:rFonts w:ascii="Calibri" w:hAnsi="Calibri" w:eastAsia="Calibri"/>
                <w:color w:val="111827"/>
                <w:sz w:val="19"/>
              </w:rPr>
              <w:t>Implementation traceability review</w:t>
            </w:r>
          </w:p>
        </w:tc>
      </w:tr>
      <w:tr>
        <w:tc>
          <w:tcPr>
            <w:tcW w:type="dxa" w:w="1650"/>
            <w:tcMar>
              <w:top w:w="80" w:type="dxa"/>
              <w:start w:w="120" w:type="dxa"/>
              <w:bottom w:w="80" w:type="dxa"/>
              <w:end w:w="120" w:type="dxa"/>
            </w:tcMar>
            <w:vAlign w:val="center"/>
            <w:shd w:fill="F2F4F7" w:val="clear"/>
          </w:tcPr>
          <w:p>
            <w:pPr>
              <w:spacing w:after="0"/>
            </w:pPr>
            <w:r>
              <w:rPr>
                <w:rFonts w:ascii="Calibri" w:hAnsi="Calibri" w:eastAsia="Calibri"/>
                <w:b/>
                <w:color w:val="0B2545"/>
                <w:sz w:val="19"/>
              </w:rPr>
              <w:t>Audience</w:t>
            </w:r>
          </w:p>
        </w:tc>
        <w:tc>
          <w:tcPr>
            <w:tcW w:type="dxa" w:w="7710"/>
            <w:tcMar>
              <w:top w:w="80" w:type="dxa"/>
              <w:start w:w="120" w:type="dxa"/>
              <w:bottom w:w="80" w:type="dxa"/>
              <w:end w:w="120" w:type="dxa"/>
            </w:tcMar>
            <w:vAlign w:val="center"/>
          </w:tcPr>
          <w:p>
            <w:pPr>
              <w:spacing w:after="0"/>
            </w:pPr>
            <w:r>
              <w:rPr>
                <w:rFonts w:ascii="Calibri" w:hAnsi="Calibri" w:eastAsia="Calibri"/>
                <w:color w:val="111827"/>
                <w:sz w:val="19"/>
              </w:rPr>
              <w:t>JF and ProFab project, commercial, technical, factory, site, and management stakeholders</w:t>
            </w:r>
          </w:p>
        </w:tc>
      </w:tr>
      <w:tr>
        <w:tc>
          <w:tcPr>
            <w:tcW w:type="dxa" w:w="1650"/>
            <w:tcMar>
              <w:top w:w="80" w:type="dxa"/>
              <w:start w:w="120" w:type="dxa"/>
              <w:bottom w:w="80" w:type="dxa"/>
              <w:end w:w="120" w:type="dxa"/>
            </w:tcMar>
            <w:vAlign w:val="center"/>
            <w:shd w:fill="F2F4F7" w:val="clear"/>
          </w:tcPr>
          <w:p>
            <w:pPr>
              <w:spacing w:after="0"/>
            </w:pPr>
            <w:r>
              <w:rPr>
                <w:rFonts w:ascii="Calibri" w:hAnsi="Calibri" w:eastAsia="Calibri"/>
                <w:b/>
                <w:color w:val="0B2545"/>
                <w:sz w:val="19"/>
              </w:rPr>
              <w:t>Scope</w:t>
            </w:r>
          </w:p>
        </w:tc>
        <w:tc>
          <w:tcPr>
            <w:tcW w:type="dxa" w:w="7710"/>
            <w:tcMar>
              <w:top w:w="80" w:type="dxa"/>
              <w:start w:w="120" w:type="dxa"/>
              <w:bottom w:w="80" w:type="dxa"/>
              <w:end w:w="120" w:type="dxa"/>
            </w:tcMar>
            <w:vAlign w:val="center"/>
          </w:tcPr>
          <w:p>
            <w:pPr>
              <w:spacing w:after="0"/>
            </w:pPr>
            <w:r>
              <w:rPr>
                <w:rFonts w:ascii="Calibri" w:hAnsi="Calibri" w:eastAsia="Calibri"/>
                <w:color w:val="111827"/>
                <w:sz w:val="19"/>
              </w:rPr>
              <w:t>This report maps the JF business requirements found in the supplied meeting transcript and controlled form package to the current system implementation. It is not a legal approval of the source forms or a substitute for business sign-off.</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rPr>
          <w:tblHeader w:val="true"/>
        </w:trPr>
        <w:tc>
          <w:tcPr>
            <w:tcW w:type="dxa" w:w="9360"/>
            <w:tcMar>
              <w:top w:w="80" w:type="dxa"/>
              <w:start w:w="120" w:type="dxa"/>
              <w:bottom w:w="80" w:type="dxa"/>
              <w:end w:w="120" w:type="dxa"/>
            </w:tcMar>
            <w:vAlign w:val="center"/>
            <w:shd w:fill="F4F6F9" w:val="clear"/>
          </w:tcPr>
          <w:p>
            <w:pPr>
              <w:spacing w:after="60"/>
            </w:pPr>
            <w:r>
              <w:rPr>
                <w:rFonts w:ascii="Calibri" w:hAnsi="Calibri" w:eastAsia="Calibri"/>
                <w:b/>
                <w:color w:val="0B2545"/>
                <w:sz w:val="21"/>
              </w:rPr>
              <w:t>Read this report as a traceability artifact</w:t>
            </w:r>
          </w:p>
          <w:p>
            <w:pPr>
              <w:spacing w:after="0" w:line="252" w:lineRule="auto"/>
            </w:pPr>
            <w:r>
              <w:rPr>
                <w:rFonts w:ascii="Calibri" w:hAnsi="Calibri" w:eastAsia="Calibri"/>
                <w:color w:val="111827"/>
                <w:sz w:val="20"/>
              </w:rPr>
              <w:t>The user's request defines the deliverables. The two supplied attachments define the business requirements and form inventory that are being mapped. Where the system provides a mechanism but ProFab still needs a policy or legal decision, the report says so explicitly.</w:t>
            </w:r>
          </w:p>
        </w:tc>
      </w:tr>
    </w:tbl>
    <w:p>
      <w:pPr>
        <w:spacing w:after="40"/>
      </w:pPr>
    </w:p>
    <w:p>
      <w:pPr>
        <w:pStyle w:val="Heading2"/>
      </w:pPr>
      <w:r>
        <w:rPr>
          <w:rFonts w:ascii="Calibri" w:hAnsi="Calibri" w:eastAsia="Calibri"/>
          <w:b w:val="0"/>
          <w:i w:val="0"/>
          <w:color w:val="111827"/>
        </w:rPr>
        <w:t>Report structure</w:t>
      </w:r>
    </w:p>
    <w:p>
      <w:pPr>
        <w:numPr>
          <w:ilvl w:val="0"/>
          <w:numId w:val="10"/>
        </w:numPr>
        <w:spacing w:after="80" w:line="264" w:lineRule="auto"/>
        <w:ind w:left="720" w:hanging="360"/>
      </w:pPr>
      <w:r>
        <w:rPr>
          <w:rFonts w:ascii="Calibri" w:hAnsi="Calibri" w:eastAsia="Calibri"/>
          <w:color w:val="111827"/>
          <w:sz w:val="21"/>
        </w:rPr>
        <w:t>Three-layer model — the compact L1 pyramid, its L2 detail, and the executable L3 evidence/form layer.</w:t>
      </w:r>
    </w:p>
    <w:p>
      <w:pPr>
        <w:numPr>
          <w:ilvl w:val="0"/>
          <w:numId w:val="10"/>
        </w:numPr>
        <w:spacing w:after="80" w:line="264" w:lineRule="auto"/>
        <w:ind w:left="720" w:hanging="360"/>
      </w:pPr>
      <w:r>
        <w:rPr>
          <w:rFonts w:ascii="Calibri" w:hAnsi="Calibri" w:eastAsia="Calibri"/>
          <w:color w:val="111827"/>
          <w:sz w:val="21"/>
        </w:rPr>
        <w:t>One-to-one JF mapping — JF-01 through JF-23 with source, system behavior, evidence, coverage, and boundary.</w:t>
      </w:r>
    </w:p>
    <w:p>
      <w:pPr>
        <w:numPr>
          <w:ilvl w:val="0"/>
          <w:numId w:val="10"/>
        </w:numPr>
        <w:spacing w:after="80" w:line="264" w:lineRule="auto"/>
        <w:ind w:left="720" w:hanging="360"/>
      </w:pPr>
      <w:r>
        <w:rPr>
          <w:rFonts w:ascii="Calibri" w:hAnsi="Calibri" w:eastAsia="Calibri"/>
          <w:color w:val="111827"/>
          <w:sz w:val="21"/>
        </w:rPr>
        <w:t>Crosswalk and form coverage — an explicit L1 → L2 → L3 list and the 52-record form register.</w:t>
      </w:r>
    </w:p>
    <w:p>
      <w:pPr>
        <w:numPr>
          <w:ilvl w:val="0"/>
          <w:numId w:val="10"/>
        </w:numPr>
        <w:spacing w:after="80" w:line="264" w:lineRule="auto"/>
        <w:ind w:left="720" w:hanging="360"/>
      </w:pPr>
      <w:r>
        <w:rPr>
          <w:rFonts w:ascii="Calibri" w:hAnsi="Calibri" w:eastAsia="Calibri"/>
          <w:color w:val="111827"/>
          <w:sz w:val="21"/>
        </w:rPr>
        <w:t>Verification and decisions — current verification evidence plus the business decisions that remain outside the software.</w:t>
      </w:r>
    </w:p>
    <w:p>
      <w:r>
        <w:br w:type="page"/>
      </w:r>
    </w:p>
    <w:p>
      <w:pPr>
        <w:pStyle w:val="Heading1"/>
      </w:pPr>
      <w:r>
        <w:rPr>
          <w:rFonts w:ascii="Calibri" w:hAnsi="Calibri" w:eastAsia="Calibri"/>
          <w:b w:val="0"/>
          <w:i w:val="0"/>
          <w:color w:val="111827"/>
        </w:rPr>
        <w:t>Executive summary</w:t>
      </w:r>
    </w:p>
    <w:p>
      <w:pPr>
        <w:spacing w:after="160"/>
      </w:pPr>
      <w:r>
        <w:rPr>
          <w:rFonts w:ascii="Calibri" w:hAnsi="Calibri" w:eastAsia="Calibri"/>
          <w:b w:val="0"/>
          <w:i w:val="0"/>
          <w:color w:val="111827"/>
          <w:sz w:val="22"/>
        </w:rPr>
        <w:t>The current ProFab system now expresses JF's operating model as a pyramid: nine high-level lifecycle nodes at L1, a sixteen-node operational workflow at L2, and a controlled execution/form layer at L3. The key design decision is that L1 is a compact narrative of the lifecycle, while L2 carries the operational decomposition and L3 carries the evidence needed to release work.</w:t>
      </w:r>
    </w:p>
    <w:p>
      <w:pPr>
        <w:spacing w:after="160"/>
      </w:pPr>
      <w:r>
        <w:rPr>
          <w:rFonts w:ascii="Calibri" w:hAnsi="Calibri" w:eastAsia="Calibri"/>
          <w:b w:val="0"/>
          <w:i w:val="0"/>
          <w:color w:val="111827"/>
          <w:sz w:val="22"/>
        </w:rPr>
        <w:t>This resolves the original concern that nearly every high-level node had a direct one-to-one relationship with a detailed node. L2 nodes are now explicitly assigned to their owning L1 node, including the two supporting control nodes for the Approval Matrix and Responsibility Matrix. The result preserves traceability without making the high-level view look like a flat list of every form or milestone.</w:t>
      </w:r>
    </w:p>
    <w:tbl>
      <w:tblPr>
        <w:tblW w:type="dxa" w:w="9360"/>
        <w:jc w:val="left"/>
        <w:tblLayout w:type="fixed"/>
        <w:tblLook w:firstColumn="1" w:firstRow="1" w:lastColumn="0" w:lastRow="0" w:noHBand="0" w:noVBand="1" w:val="04A0"/>
        <w:tblInd w:w="120" w:type="dxa"/>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1900"/>
        <w:gridCol w:w="1400"/>
        <w:gridCol w:w="6060"/>
      </w:tblGrid>
      <w:tr>
        <w:trPr>
          <w:tblHeader w:val="true"/>
        </w:trPr>
        <w:tc>
          <w:tcPr>
            <w:tcW w:type="dxa" w:w="190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Coverage status</w:t>
            </w:r>
          </w:p>
        </w:tc>
        <w:tc>
          <w:tcPr>
            <w:tcW w:type="dxa" w:w="140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Count</w:t>
            </w:r>
          </w:p>
        </w:tc>
        <w:tc>
          <w:tcPr>
            <w:tcW w:type="dxa" w:w="606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Meaning</w:t>
            </w:r>
          </w:p>
        </w:tc>
      </w:tr>
      <w:tr>
        <w:tc>
          <w:tcPr>
            <w:tcW w:type="dxa" w:w="1900"/>
          </w:tcPr>
          <w:p>
            <w:pPr>
              <w:pStyle w:val="TableText"/>
              <w:spacing w:after="0"/>
            </w:pPr>
            <w:r>
              <w:rPr>
                <w:rFonts w:ascii="Calibri" w:hAnsi="Calibri" w:eastAsia="Calibri"/>
                <w:b/>
                <w:color w:val="111827"/>
                <w:sz w:val="18"/>
              </w:rPr>
              <w:t>Implemented</w:t>
            </w:r>
          </w:p>
        </w:tc>
        <w:tc>
          <w:tcPr>
            <w:tcW w:type="dxa" w:w="1400"/>
          </w:tcPr>
          <w:p>
            <w:pPr>
              <w:pStyle w:val="TableText"/>
              <w:spacing w:after="0"/>
              <w:jc w:val="center"/>
            </w:pPr>
            <w:r>
              <w:rPr>
                <w:rFonts w:ascii="Calibri" w:hAnsi="Calibri" w:eastAsia="Calibri"/>
                <w:b w:val="0"/>
                <w:color w:val="111827"/>
                <w:sz w:val="18"/>
              </w:rPr>
              <w:t>12</w:t>
            </w:r>
          </w:p>
        </w:tc>
        <w:tc>
          <w:tcPr>
            <w:tcW w:type="dxa" w:w="6060"/>
          </w:tcPr>
          <w:p>
            <w:pPr>
              <w:pStyle w:val="TableText"/>
              <w:spacing w:after="0"/>
            </w:pPr>
            <w:r>
              <w:rPr>
                <w:rFonts w:ascii="Calibri" w:hAnsi="Calibri" w:eastAsia="Calibri"/>
                <w:b w:val="0"/>
                <w:color w:val="111827"/>
                <w:sz w:val="18"/>
              </w:rPr>
              <w:t>The system behavior is present and mapped directly to the requirement.</w:t>
            </w:r>
          </w:p>
        </w:tc>
      </w:tr>
      <w:tr>
        <w:tc>
          <w:tcPr>
            <w:tcW w:type="dxa" w:w="1900"/>
          </w:tcPr>
          <w:p>
            <w:pPr>
              <w:pStyle w:val="TableText"/>
              <w:spacing w:after="0"/>
            </w:pPr>
            <w:r>
              <w:rPr>
                <w:rFonts w:ascii="Calibri" w:hAnsi="Calibri" w:eastAsia="Calibri"/>
                <w:b/>
                <w:color w:val="111827"/>
                <w:sz w:val="18"/>
              </w:rPr>
              <w:t>Implemented with controlled configuration</w:t>
            </w:r>
          </w:p>
        </w:tc>
        <w:tc>
          <w:tcPr>
            <w:tcW w:type="dxa" w:w="1400"/>
          </w:tcPr>
          <w:p>
            <w:pPr>
              <w:pStyle w:val="TableText"/>
              <w:spacing w:after="0"/>
              <w:jc w:val="center"/>
            </w:pPr>
            <w:r>
              <w:rPr>
                <w:rFonts w:ascii="Calibri" w:hAnsi="Calibri" w:eastAsia="Calibri"/>
                <w:b w:val="0"/>
                <w:color w:val="111827"/>
                <w:sz w:val="18"/>
              </w:rPr>
              <w:t>10</w:t>
            </w:r>
          </w:p>
        </w:tc>
        <w:tc>
          <w:tcPr>
            <w:tcW w:type="dxa" w:w="6060"/>
          </w:tcPr>
          <w:p>
            <w:pPr>
              <w:pStyle w:val="TableText"/>
              <w:spacing w:after="0"/>
            </w:pPr>
            <w:r>
              <w:rPr>
                <w:rFonts w:ascii="Calibri" w:hAnsi="Calibri" w:eastAsia="Calibri"/>
                <w:b w:val="0"/>
                <w:color w:val="111827"/>
                <w:sz w:val="18"/>
              </w:rPr>
              <w:t>The mechanism is present; ProFab must maintain route, role, threshold, or project-specific values.</w:t>
            </w:r>
          </w:p>
        </w:tc>
      </w:tr>
      <w:tr>
        <w:tc>
          <w:tcPr>
            <w:tcW w:type="dxa" w:w="1900"/>
          </w:tcPr>
          <w:p>
            <w:pPr>
              <w:pStyle w:val="TableText"/>
              <w:spacing w:after="0"/>
            </w:pPr>
            <w:r>
              <w:rPr>
                <w:rFonts w:ascii="Calibri" w:hAnsi="Calibri" w:eastAsia="Calibri"/>
                <w:b/>
                <w:color w:val="111827"/>
                <w:sz w:val="18"/>
              </w:rPr>
              <w:t>Implemented with source-dependent follow-up</w:t>
            </w:r>
          </w:p>
        </w:tc>
        <w:tc>
          <w:tcPr>
            <w:tcW w:type="dxa" w:w="1400"/>
          </w:tcPr>
          <w:p>
            <w:pPr>
              <w:pStyle w:val="TableText"/>
              <w:spacing w:after="0"/>
              <w:jc w:val="center"/>
            </w:pPr>
            <w:r>
              <w:rPr>
                <w:rFonts w:ascii="Calibri" w:hAnsi="Calibri" w:eastAsia="Calibri"/>
                <w:b w:val="0"/>
                <w:color w:val="111827"/>
                <w:sz w:val="18"/>
              </w:rPr>
              <w:t>1</w:t>
            </w:r>
          </w:p>
        </w:tc>
        <w:tc>
          <w:tcPr>
            <w:tcW w:type="dxa" w:w="6060"/>
          </w:tcPr>
          <w:p>
            <w:pPr>
              <w:pStyle w:val="TableText"/>
              <w:spacing w:after="0"/>
            </w:pPr>
            <w:r>
              <w:rPr>
                <w:rFonts w:ascii="Calibri" w:hAnsi="Calibri" w:eastAsia="Calibri"/>
                <w:b w:val="0"/>
                <w:color w:val="111827"/>
                <w:sz w:val="18"/>
              </w:rPr>
              <w:t>The system records the requirement and source evidence; legal or controlled-form approval remains external.</w:t>
            </w:r>
          </w:p>
        </w:tc>
      </w:tr>
    </w:tbl>
    <w:p>
      <w:pPr>
        <w:spacing w:after="80"/>
      </w:pP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rPr>
          <w:tblHeader w:val="true"/>
        </w:trPr>
        <w:tc>
          <w:tcPr>
            <w:tcW w:type="dxa" w:w="9360"/>
            <w:tcMar>
              <w:top w:w="80" w:type="dxa"/>
              <w:start w:w="120" w:type="dxa"/>
              <w:bottom w:w="80" w:type="dxa"/>
              <w:end w:w="120" w:type="dxa"/>
            </w:tcMar>
            <w:vAlign w:val="center"/>
            <w:shd w:fill="E8EEF5" w:val="clear"/>
          </w:tcPr>
          <w:p>
            <w:pPr>
              <w:spacing w:after="60"/>
            </w:pPr>
            <w:r>
              <w:rPr>
                <w:rFonts w:ascii="Calibri" w:hAnsi="Calibri" w:eastAsia="Calibri"/>
                <w:b/>
                <w:color w:val="0B2545"/>
                <w:sz w:val="21"/>
              </w:rPr>
              <w:t>Overall conclusion</w:t>
            </w:r>
          </w:p>
          <w:p>
            <w:pPr>
              <w:spacing w:after="0" w:line="252" w:lineRule="auto"/>
            </w:pPr>
            <w:r>
              <w:rPr>
                <w:rFonts w:ascii="Calibri" w:hAnsi="Calibri" w:eastAsia="Calibri"/>
                <w:color w:val="111827"/>
                <w:sz w:val="20"/>
              </w:rPr>
              <w:t>The structural and operational requirements described by JF are implemented in the current system. Remaining items are governance choices—final legal wording, controlled form approval, route-specific thresholds, actual payment terms, warranty terms, and assigned ownership—not missing workflow architecture.</w:t>
            </w:r>
          </w:p>
        </w:tc>
      </w:tr>
    </w:tbl>
    <w:p>
      <w:pPr>
        <w:spacing w:after="40"/>
      </w:pPr>
    </w:p>
    <w:p>
      <w:pPr>
        <w:pStyle w:val="Heading1"/>
      </w:pPr>
      <w:r>
        <w:rPr>
          <w:rFonts w:ascii="Calibri" w:hAnsi="Calibri" w:eastAsia="Calibri"/>
          <w:b w:val="0"/>
          <w:i w:val="0"/>
          <w:color w:val="111827"/>
        </w:rPr>
        <w:t>1. Scope and instruction boundary</w:t>
      </w:r>
    </w:p>
    <w:p>
      <w:pPr>
        <w:pStyle w:val="Heading2"/>
      </w:pPr>
      <w:r>
        <w:rPr>
          <w:rFonts w:ascii="Calibri" w:hAnsi="Calibri" w:eastAsia="Calibri"/>
          <w:b w:val="0"/>
          <w:i w:val="0"/>
          <w:color w:val="111827"/>
        </w:rPr>
        <w:t>Source files used</w:t>
      </w:r>
    </w:p>
    <w:p>
      <w:pPr>
        <w:numPr>
          <w:ilvl w:val="0"/>
          <w:numId w:val="10"/>
        </w:numPr>
        <w:spacing w:after="80" w:line="264" w:lineRule="auto"/>
        <w:ind w:left="720" w:hanging="360"/>
      </w:pPr>
      <w:r>
        <w:rPr>
          <w:rFonts w:ascii="Calibri" w:hAnsi="Calibri" w:eastAsia="Calibri"/>
          <w:b/>
          <w:color w:val="0B2545"/>
          <w:sz w:val="21"/>
        </w:rPr>
        <w:t xml:space="preserve">JF Meetings Transcripts.docx — </w:t>
      </w:r>
      <w:r>
        <w:rPr>
          <w:rFonts w:ascii="Calibri" w:hAnsi="Calibri" w:eastAsia="Calibri"/>
          <w:color w:val="111827"/>
          <w:sz w:val="21"/>
        </w:rPr>
        <w:t>meeting transcript source used for lifecycle, qualification, gate, responsibility, legal/clarity, and usability requirements. Key references are Blocks 1, 2, 4, and 5.</w:t>
      </w:r>
    </w:p>
    <w:p>
      <w:pPr>
        <w:numPr>
          <w:ilvl w:val="0"/>
          <w:numId w:val="10"/>
        </w:numPr>
        <w:spacing w:after="80" w:line="264" w:lineRule="auto"/>
        <w:ind w:left="720" w:hanging="360"/>
      </w:pPr>
      <w:r>
        <w:rPr>
          <w:rFonts w:ascii="Calibri" w:hAnsi="Calibri" w:eastAsia="Calibri"/>
          <w:b/>
          <w:color w:val="0B2545"/>
          <w:sz w:val="21"/>
        </w:rPr>
        <w:t xml:space="preserve">Combined Forms.pdf — </w:t>
      </w:r>
      <w:r>
        <w:rPr>
          <w:rFonts w:ascii="Calibri" w:hAnsi="Calibri" w:eastAsia="Calibri"/>
          <w:color w:val="111827"/>
          <w:sz w:val="21"/>
        </w:rPr>
        <w:t>controlled form package used for the form inventory, index numbering, source page ranges, and source-package QA observations. The controlled index is on pages 1–9; form content begins on page 10.</w:t>
      </w:r>
    </w:p>
    <w:p>
      <w:pPr>
        <w:numPr>
          <w:ilvl w:val="0"/>
          <w:numId w:val="10"/>
        </w:numPr>
        <w:spacing w:after="80" w:line="264" w:lineRule="auto"/>
        <w:ind w:left="720" w:hanging="360"/>
      </w:pPr>
      <w:r>
        <w:rPr>
          <w:rFonts w:ascii="Calibri" w:hAnsi="Calibri" w:eastAsia="Calibri"/>
          <w:b/>
          <w:color w:val="0B2545"/>
          <w:sz w:val="21"/>
        </w:rPr>
        <w:t xml:space="preserve">Current system implementation — </w:t>
      </w:r>
      <w:r>
        <w:rPr>
          <w:rFonts w:ascii="Calibri" w:hAnsi="Calibri" w:eastAsia="Calibri"/>
          <w:color w:val="111827"/>
          <w:sz w:val="21"/>
        </w:rPr>
        <w:t>ProFab Project Workflow Builder source and verification outputs, reviewed against the default L1/L2/L3 scaffold and execution behavior.</w:t>
      </w:r>
    </w:p>
    <w:p>
      <w:pPr>
        <w:pStyle w:val="Heading2"/>
      </w:pPr>
      <w:r>
        <w:rPr>
          <w:rFonts w:ascii="Calibri" w:hAnsi="Calibri" w:eastAsia="Calibri"/>
          <w:b w:val="0"/>
          <w:i w:val="0"/>
          <w:color w:val="111827"/>
        </w:rPr>
        <w:t>Instruction boundary</w:t>
      </w:r>
    </w:p>
    <w:p>
      <w:pPr>
        <w:numPr>
          <w:ilvl w:val="0"/>
          <w:numId w:val="10"/>
        </w:numPr>
        <w:spacing w:after="80" w:line="264" w:lineRule="auto"/>
        <w:ind w:left="720" w:hanging="360"/>
      </w:pPr>
      <w:r>
        <w:rPr>
          <w:rFonts w:ascii="Calibri" w:hAnsi="Calibri" w:eastAsia="Calibri"/>
          <w:color w:val="111827"/>
          <w:sz w:val="21"/>
        </w:rPr>
        <w:t>The user's request for this task is to produce an English report and an English presentation, represent all three layers as lists, and map each JF requirement one-to-one to the system.</w:t>
      </w:r>
    </w:p>
    <w:p>
      <w:pPr>
        <w:numPr>
          <w:ilvl w:val="0"/>
          <w:numId w:val="10"/>
        </w:numPr>
        <w:spacing w:after="80" w:line="264" w:lineRule="auto"/>
        <w:ind w:left="720" w:hanging="360"/>
      </w:pPr>
      <w:r>
        <w:rPr>
          <w:rFonts w:ascii="Calibri" w:hAnsi="Calibri" w:eastAsia="Calibri"/>
          <w:color w:val="111827"/>
          <w:sz w:val="21"/>
        </w:rPr>
        <w:t>JF Meetings Transcripts.docx and Combined Forms.pdf are treated as source material that defines the business requirements and form inventory. Their internal discussion comments are not treated as direct user instructions for this task.</w:t>
      </w:r>
    </w:p>
    <w:p>
      <w:pPr>
        <w:numPr>
          <w:ilvl w:val="0"/>
          <w:numId w:val="10"/>
        </w:numPr>
        <w:spacing w:after="80" w:line="264" w:lineRule="auto"/>
        <w:ind w:left="720" w:hanging="360"/>
      </w:pPr>
      <w:r>
        <w:rPr>
          <w:rFonts w:ascii="Calibri" w:hAnsi="Calibri" w:eastAsia="Calibri"/>
          <w:color w:val="111827"/>
          <w:sz w:val="21"/>
        </w:rPr>
        <w:t>The system mapping reflects the current ProFab implementation after the lifecycle simplification, L2-to-L1 linking, L3 customization, autosave, and minimap work described in the project history. No application code is changed by this reporting task.</w:t>
      </w:r>
    </w:p>
    <w:p>
      <w:pPr>
        <w:pStyle w:val="Heading1"/>
      </w:pPr>
      <w:r>
        <w:rPr>
          <w:rFonts w:ascii="Calibri" w:hAnsi="Calibri" w:eastAsia="Calibri"/>
          <w:b w:val="0"/>
          <w:i w:val="0"/>
          <w:color w:val="111827"/>
        </w:rPr>
        <w:t>2. Three-layer model</w:t>
      </w:r>
    </w:p>
    <w:p>
      <w:pPr>
        <w:spacing w:after="160"/>
      </w:pPr>
      <w:r>
        <w:rPr>
          <w:rFonts w:ascii="Calibri" w:hAnsi="Calibri" w:eastAsia="Calibri"/>
          <w:b w:val="0"/>
          <w:i w:val="0"/>
          <w:color w:val="111827"/>
          <w:sz w:val="22"/>
        </w:rPr>
        <w:t>The three layers are intentionally different in purpose. L1 answers “where are we in the lifecycle?” L2 answers “what operational work and gate sits here?” L3 answers “what evidence, approval, signature, task, or form is required to move?”</w:t>
      </w:r>
    </w:p>
    <w:tbl>
      <w:tblPr>
        <w:tblW w:type="dxa" w:w="9360"/>
        <w:jc w:val="left"/>
        <w:tblLayout w:type="fixed"/>
        <w:tblLook w:firstColumn="1" w:firstRow="1" w:lastColumn="0" w:lastRow="0" w:noHBand="0" w:noVBand="1" w:val="04A0"/>
        <w:tblInd w:w="120" w:type="dxa"/>
        <w:tblBorders>
          <w:top w:val="single" w:sz="5" w:space="0" w:color="C9D1DB"/>
          <w:left w:val="single" w:sz="5" w:space="0" w:color="C9D1DB"/>
          <w:bottom w:val="single" w:sz="5" w:space="0" w:color="C9D1DB"/>
          <w:right w:val="single" w:sz="5" w:space="0" w:color="C9D1DB"/>
          <w:insideH w:val="single" w:sz="5" w:space="0" w:color="C9D1DB"/>
          <w:insideV w:val="single" w:sz="5" w:space="0" w:color="C9D1DB"/>
        </w:tblBorders>
      </w:tblPr>
      <w:tblGrid>
        <w:gridCol w:w="1450"/>
        <w:gridCol w:w="1320"/>
        <w:gridCol w:w="3420"/>
        <w:gridCol w:w="3170"/>
      </w:tblGrid>
      <w:tr>
        <w:trPr>
          <w:tblHeader w:val="true"/>
        </w:trPr>
        <w:tc>
          <w:tcPr>
            <w:tcW w:type="dxa" w:w="145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Layer</w:t>
            </w:r>
          </w:p>
        </w:tc>
        <w:tc>
          <w:tcPr>
            <w:tcW w:type="dxa" w:w="132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Count</w:t>
            </w:r>
          </w:p>
        </w:tc>
        <w:tc>
          <w:tcPr>
            <w:tcW w:type="dxa" w:w="342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Purpose</w:t>
            </w:r>
          </w:p>
        </w:tc>
        <w:tc>
          <w:tcPr>
            <w:tcW w:type="dxa" w:w="3170"/>
            <w:tcMar>
              <w:top w:w="80" w:type="dxa"/>
              <w:start w:w="120" w:type="dxa"/>
              <w:bottom w:w="80" w:type="dxa"/>
              <w:end w:w="120" w:type="dxa"/>
            </w:tcMar>
            <w:vAlign w:val="center"/>
            <w:shd w:fill="E8EEF5" w:val="clear"/>
          </w:tcPr>
          <w:p>
            <w:pPr>
              <w:pStyle w:val="TableHeader"/>
              <w:spacing w:after="0"/>
            </w:pPr>
            <w:r>
              <w:rPr>
                <w:rFonts w:ascii="Calibri" w:hAnsi="Calibri" w:eastAsia="Calibri"/>
                <w:b/>
                <w:color w:val="0B2545"/>
                <w:sz w:val="18"/>
              </w:rPr>
              <w:t>Current implementation</w:t>
            </w:r>
          </w:p>
        </w:tc>
      </w:tr>
      <w:tr>
        <w:tc>
          <w:tcPr>
            <w:tcW w:type="dxa" w:w="1450"/>
          </w:tcPr>
          <w:p>
            <w:pPr>
              <w:pStyle w:val="TableText"/>
              <w:spacing w:after="0"/>
            </w:pPr>
            <w:r>
              <w:rPr>
                <w:rFonts w:ascii="Calibri" w:hAnsi="Calibri" w:eastAsia="Calibri"/>
                <w:b/>
                <w:color w:val="111827"/>
                <w:sz w:val="18"/>
              </w:rPr>
              <w:t>L1 — High-Level Process</w:t>
            </w:r>
          </w:p>
        </w:tc>
        <w:tc>
          <w:tcPr>
            <w:tcW w:type="dxa" w:w="1320"/>
          </w:tcPr>
          <w:p>
            <w:pPr>
              <w:pStyle w:val="TableText"/>
              <w:spacing w:after="0"/>
              <w:jc w:val="center"/>
            </w:pPr>
            <w:r>
              <w:rPr>
                <w:rFonts w:ascii="Calibri" w:hAnsi="Calibri" w:eastAsia="Calibri"/>
                <w:b w:val="0"/>
                <w:color w:val="111827"/>
                <w:sz w:val="18"/>
              </w:rPr>
              <w:t>9 nodes</w:t>
            </w:r>
          </w:p>
        </w:tc>
        <w:tc>
          <w:tcPr>
            <w:tcW w:type="dxa" w:w="3420"/>
          </w:tcPr>
          <w:p>
            <w:pPr>
              <w:pStyle w:val="TableText"/>
              <w:spacing w:after="0"/>
            </w:pPr>
            <w:r>
              <w:rPr>
                <w:rFonts w:ascii="Calibri" w:hAnsi="Calibri" w:eastAsia="Calibri"/>
                <w:b w:val="0"/>
                <w:color w:val="111827"/>
                <w:sz w:val="18"/>
              </w:rPr>
              <w:t>A compact lifecycle view that shows the pyramid top: start, qualification, five primary gates, commissioning/warranty, and final close.</w:t>
            </w:r>
          </w:p>
        </w:tc>
        <w:tc>
          <w:tcPr>
            <w:tcW w:type="dxa" w:w="3170"/>
          </w:tcPr>
          <w:p>
            <w:pPr>
              <w:pStyle w:val="TableText"/>
              <w:spacing w:after="0"/>
            </w:pPr>
            <w:r>
              <w:rPr>
                <w:rFonts w:ascii="Calibri" w:hAnsi="Calibri" w:eastAsia="Calibri"/>
                <w:b w:val="0"/>
                <w:color w:val="111827"/>
                <w:sz w:val="18"/>
              </w:rPr>
              <w:t>The default high-level process is a connected nine-node chain. It deliberately groups detail instead of giving every L2 milestone its own L1 node.</w:t>
            </w:r>
          </w:p>
        </w:tc>
      </w:tr>
      <w:tr>
        <w:tc>
          <w:tcPr>
            <w:tcW w:type="dxa" w:w="1450"/>
          </w:tcPr>
          <w:p>
            <w:pPr>
              <w:pStyle w:val="TableText"/>
              <w:spacing w:after="0"/>
            </w:pPr>
            <w:r>
              <w:rPr>
                <w:rFonts w:ascii="Calibri" w:hAnsi="Calibri" w:eastAsia="Calibri"/>
                <w:b/>
                <w:color w:val="111827"/>
                <w:sz w:val="18"/>
              </w:rPr>
              <w:t>L2 — Detailed Workflow</w:t>
            </w:r>
          </w:p>
        </w:tc>
        <w:tc>
          <w:tcPr>
            <w:tcW w:type="dxa" w:w="1320"/>
          </w:tcPr>
          <w:p>
            <w:pPr>
              <w:pStyle w:val="TableText"/>
              <w:spacing w:after="0"/>
              <w:jc w:val="center"/>
            </w:pPr>
            <w:r>
              <w:rPr>
                <w:rFonts w:ascii="Calibri" w:hAnsi="Calibri" w:eastAsia="Calibri"/>
                <w:b w:val="0"/>
                <w:color w:val="111827"/>
                <w:sz w:val="18"/>
              </w:rPr>
              <w:t>16 nodes</w:t>
            </w:r>
          </w:p>
        </w:tc>
        <w:tc>
          <w:tcPr>
            <w:tcW w:type="dxa" w:w="3420"/>
          </w:tcPr>
          <w:p>
            <w:pPr>
              <w:pStyle w:val="TableText"/>
              <w:spacing w:after="0"/>
            </w:pPr>
            <w:r>
              <w:rPr>
                <w:rFonts w:ascii="Calibri" w:hAnsi="Calibri" w:eastAsia="Calibri"/>
                <w:b w:val="0"/>
                <w:color w:val="111827"/>
                <w:sz w:val="18"/>
              </w:rPr>
              <w:t>The operational lifecycle beneath L1: 14 primary lifecycle nodes plus two supporting control nodes.</w:t>
            </w:r>
          </w:p>
        </w:tc>
        <w:tc>
          <w:tcPr>
            <w:tcW w:type="dxa" w:w="3170"/>
          </w:tcPr>
          <w:p>
            <w:pPr>
              <w:pStyle w:val="TableText"/>
              <w:spacing w:after="0"/>
            </w:pPr>
            <w:r>
              <w:rPr>
                <w:rFonts w:ascii="Calibri" w:hAnsi="Calibri" w:eastAsia="Calibri"/>
                <w:b w:val="0"/>
                <w:color w:val="111827"/>
                <w:sz w:val="18"/>
              </w:rPr>
              <w:t>Every L2 node is assigned to a designated L1 node through an explicit link map; the supporting Approval Matrix and Responsibility Matrix remain visible without inflating L1.</w:t>
            </w:r>
          </w:p>
        </w:tc>
      </w:tr>
      <w:tr>
        <w:tc>
          <w:tcPr>
            <w:tcW w:type="dxa" w:w="1450"/>
          </w:tcPr>
          <w:p>
            <w:pPr>
              <w:pStyle w:val="TableText"/>
              <w:spacing w:after="0"/>
            </w:pPr>
            <w:r>
              <w:rPr>
                <w:rFonts w:ascii="Calibri" w:hAnsi="Calibri" w:eastAsia="Calibri"/>
                <w:b/>
                <w:color w:val="111827"/>
                <w:sz w:val="18"/>
              </w:rPr>
              <w:t>L3 — Execution / Forms</w:t>
            </w:r>
          </w:p>
        </w:tc>
        <w:tc>
          <w:tcPr>
            <w:tcW w:type="dxa" w:w="1320"/>
          </w:tcPr>
          <w:p>
            <w:pPr>
              <w:pStyle w:val="TableText"/>
              <w:spacing w:after="0"/>
              <w:jc w:val="center"/>
            </w:pPr>
            <w:r>
              <w:rPr>
                <w:rFonts w:ascii="Calibri" w:hAnsi="Calibri" w:eastAsia="Calibri"/>
                <w:b w:val="0"/>
                <w:color w:val="111827"/>
                <w:sz w:val="18"/>
              </w:rPr>
              <w:t>52 controlled forms + configurable execution items</w:t>
            </w:r>
          </w:p>
        </w:tc>
        <w:tc>
          <w:tcPr>
            <w:tcW w:type="dxa" w:w="3420"/>
          </w:tcPr>
          <w:p>
            <w:pPr>
              <w:pStyle w:val="TableText"/>
              <w:spacing w:after="0"/>
            </w:pPr>
            <w:r>
              <w:rPr>
                <w:rFonts w:ascii="Calibri" w:hAnsi="Calibri" w:eastAsia="Calibri"/>
                <w:b w:val="0"/>
                <w:color w:val="111827"/>
                <w:sz w:val="18"/>
              </w:rPr>
              <w:t>Evidence, forms, approvals, signatures, tasks, checklists, attachments, and completion rules that make each L2 step executable.</w:t>
            </w:r>
          </w:p>
        </w:tc>
        <w:tc>
          <w:tcPr>
            <w:tcW w:type="dxa" w:w="3170"/>
          </w:tcPr>
          <w:p>
            <w:pPr>
              <w:pStyle w:val="TableText"/>
              <w:spacing w:after="0"/>
            </w:pPr>
            <w:r>
              <w:rPr>
                <w:rFonts w:ascii="Calibri" w:hAnsi="Calibri" w:eastAsia="Calibri"/>
                <w:b w:val="0"/>
                <w:color w:val="111827"/>
                <w:sz w:val="18"/>
              </w:rPr>
              <w:t>The L3 catalog covers the supplied form package, while users can customize form titles, descriptions, fields, opportunity steps, matrices, and custom L3 items within controlled operational boundaries.</w:t>
            </w:r>
          </w:p>
        </w:tc>
      </w:tr>
    </w:tbl>
    <w:p>
      <w:pPr>
        <w:spacing w:after="40"/>
      </w:pPr>
    </w:p>
    <w:p>
      <w:pPr>
        <w:pStyle w:val="Heading2"/>
      </w:pPr>
      <w:r>
        <w:rPr>
          <w:rFonts w:ascii="Calibri" w:hAnsi="Calibri" w:eastAsia="Calibri"/>
          <w:b w:val="0"/>
          <w:i w:val="0"/>
          <w:color w:val="111827"/>
        </w:rPr>
        <w:t>Layer 1 — High-Level Process</w:t>
      </w:r>
    </w:p>
    <w:p>
      <w:pPr>
        <w:numPr>
          <w:ilvl w:val="0"/>
          <w:numId w:val="10"/>
        </w:numPr>
        <w:spacing w:after="80" w:line="264" w:lineRule="auto"/>
        <w:ind w:left="720" w:hanging="360"/>
      </w:pPr>
      <w:r>
        <w:rPr>
          <w:rFonts w:ascii="Calibri" w:hAnsi="Calibri" w:eastAsia="Calibri"/>
          <w:b/>
          <w:color w:val="0B2545"/>
          <w:sz w:val="20"/>
        </w:rPr>
        <w:t xml:space="preserve">1. INITIAL CONTACT — </w:t>
      </w:r>
      <w:r>
        <w:rPr>
          <w:rFonts w:ascii="Calibri" w:hAnsi="Calibri" w:eastAsia="Calibri"/>
          <w:color w:val="111827"/>
          <w:sz w:val="20"/>
        </w:rPr>
        <w:t>Create the project record, capture initial contact, and establish the identifier.</w:t>
      </w:r>
    </w:p>
    <w:p>
      <w:pPr>
        <w:numPr>
          <w:ilvl w:val="0"/>
          <w:numId w:val="10"/>
        </w:numPr>
        <w:spacing w:after="80" w:line="264" w:lineRule="auto"/>
        <w:ind w:left="720" w:hanging="360"/>
      </w:pPr>
      <w:r>
        <w:rPr>
          <w:rFonts w:ascii="Calibri" w:hAnsi="Calibri" w:eastAsia="Calibri"/>
          <w:b/>
          <w:color w:val="0B2545"/>
          <w:sz w:val="20"/>
        </w:rPr>
        <w:t xml:space="preserve">2. OPPORTUNITY &amp; QUALIFICATION — </w:t>
      </w:r>
      <w:r>
        <w:rPr>
          <w:rFonts w:ascii="Calibri" w:hAnsi="Calibri" w:eastAsia="Calibri"/>
          <w:color w:val="111827"/>
          <w:sz w:val="20"/>
        </w:rPr>
        <w:t>Test client, authority, project scale, site, design, and eligibility evidence.</w:t>
      </w:r>
    </w:p>
    <w:p>
      <w:pPr>
        <w:numPr>
          <w:ilvl w:val="0"/>
          <w:numId w:val="10"/>
        </w:numPr>
        <w:spacing w:after="80" w:line="264" w:lineRule="auto"/>
        <w:ind w:left="720" w:hanging="360"/>
      </w:pPr>
      <w:r>
        <w:rPr>
          <w:rFonts w:ascii="Calibri" w:hAnsi="Calibri" w:eastAsia="Calibri"/>
          <w:b/>
          <w:color w:val="0B2545"/>
          <w:sz w:val="20"/>
        </w:rPr>
        <w:t xml:space="preserve">3. G1 — QUALIFIED &amp; COMMERCIALLY ENGAGED — </w:t>
      </w:r>
      <w:r>
        <w:rPr>
          <w:rFonts w:ascii="Calibri" w:hAnsi="Calibri" w:eastAsia="Calibri"/>
          <w:color w:val="111827"/>
          <w:sz w:val="20"/>
        </w:rPr>
        <w:t>Release an eligible opportunity with a valid route, approval authority, and executed commercial engagement.</w:t>
      </w:r>
    </w:p>
    <w:p>
      <w:pPr>
        <w:numPr>
          <w:ilvl w:val="0"/>
          <w:numId w:val="10"/>
        </w:numPr>
        <w:spacing w:after="80" w:line="264" w:lineRule="auto"/>
        <w:ind w:left="720" w:hanging="360"/>
      </w:pPr>
      <w:r>
        <w:rPr>
          <w:rFonts w:ascii="Calibri" w:hAnsi="Calibri" w:eastAsia="Calibri"/>
          <w:b/>
          <w:color w:val="0B2545"/>
          <w:sz w:val="20"/>
        </w:rPr>
        <w:t xml:space="preserve">4. G2 — TECHNICAL COMMITMENT — </w:t>
      </w:r>
      <w:r>
        <w:rPr>
          <w:rFonts w:ascii="Calibri" w:hAnsi="Calibri" w:eastAsia="Calibri"/>
          <w:color w:val="111827"/>
          <w:sz w:val="20"/>
        </w:rPr>
        <w:t>Complete pre-construction and authorize technical basis, scope, and responsibility boundaries.</w:t>
      </w:r>
    </w:p>
    <w:p>
      <w:pPr>
        <w:numPr>
          <w:ilvl w:val="0"/>
          <w:numId w:val="10"/>
        </w:numPr>
        <w:spacing w:after="80" w:line="264" w:lineRule="auto"/>
        <w:ind w:left="720" w:hanging="360"/>
      </w:pPr>
      <w:r>
        <w:rPr>
          <w:rFonts w:ascii="Calibri" w:hAnsi="Calibri" w:eastAsia="Calibri"/>
          <w:b/>
          <w:color w:val="0B2545"/>
          <w:sz w:val="20"/>
        </w:rPr>
        <w:t xml:space="preserve">5. G3 — PRODUCTION AUTHORIZATION — </w:t>
      </w:r>
      <w:r>
        <w:rPr>
          <w:rFonts w:ascii="Calibri" w:hAnsi="Calibri" w:eastAsia="Calibri"/>
          <w:color w:val="111827"/>
          <w:sz w:val="20"/>
        </w:rPr>
        <w:t>Complete production readiness and release the approved package to factory production.</w:t>
      </w:r>
    </w:p>
    <w:p>
      <w:pPr>
        <w:numPr>
          <w:ilvl w:val="0"/>
          <w:numId w:val="10"/>
        </w:numPr>
        <w:spacing w:after="80" w:line="264" w:lineRule="auto"/>
        <w:ind w:left="720" w:hanging="360"/>
      </w:pPr>
      <w:r>
        <w:rPr>
          <w:rFonts w:ascii="Calibri" w:hAnsi="Calibri" w:eastAsia="Calibri"/>
          <w:b/>
          <w:color w:val="0B2545"/>
          <w:sz w:val="20"/>
        </w:rPr>
        <w:t xml:space="preserve">6. G4 — FACTORY RELEASE — </w:t>
      </w:r>
      <w:r>
        <w:rPr>
          <w:rFonts w:ascii="Calibri" w:hAnsi="Calibri" w:eastAsia="Calibri"/>
          <w:color w:val="111827"/>
          <w:sz w:val="20"/>
        </w:rPr>
        <w:t>Complete factory production, accept quality evidence, and release the work to delivery.</w:t>
      </w:r>
    </w:p>
    <w:p>
      <w:pPr>
        <w:numPr>
          <w:ilvl w:val="0"/>
          <w:numId w:val="10"/>
        </w:numPr>
        <w:spacing w:after="80" w:line="264" w:lineRule="auto"/>
        <w:ind w:left="720" w:hanging="360"/>
      </w:pPr>
      <w:r>
        <w:rPr>
          <w:rFonts w:ascii="Calibri" w:hAnsi="Calibri" w:eastAsia="Calibri"/>
          <w:b/>
          <w:color w:val="0B2545"/>
          <w:sz w:val="20"/>
        </w:rPr>
        <w:t xml:space="preserve">7. G5 — WARRANTY START — </w:t>
      </w:r>
      <w:r>
        <w:rPr>
          <w:rFonts w:ascii="Calibri" w:hAnsi="Calibri" w:eastAsia="Calibri"/>
          <w:color w:val="111827"/>
          <w:sz w:val="20"/>
        </w:rPr>
        <w:t>Complete delivery and project completion, accept controlled deficiencies, and start warranty.</w:t>
      </w:r>
    </w:p>
    <w:p>
      <w:pPr>
        <w:numPr>
          <w:ilvl w:val="0"/>
          <w:numId w:val="10"/>
        </w:numPr>
        <w:spacing w:after="80" w:line="264" w:lineRule="auto"/>
        <w:ind w:left="720" w:hanging="360"/>
      </w:pPr>
      <w:r>
        <w:rPr>
          <w:rFonts w:ascii="Calibri" w:hAnsi="Calibri" w:eastAsia="Calibri"/>
          <w:b/>
          <w:color w:val="0B2545"/>
          <w:sz w:val="20"/>
        </w:rPr>
        <w:t xml:space="preserve">8. COMMISSIONING &amp; WARRANTY — </w:t>
      </w:r>
      <w:r>
        <w:rPr>
          <w:rFonts w:ascii="Calibri" w:hAnsi="Calibri" w:eastAsia="Calibri"/>
          <w:color w:val="111827"/>
          <w:sz w:val="20"/>
        </w:rPr>
        <w:t>Complete commissioning, warranty service, and closeout tracking.</w:t>
      </w:r>
    </w:p>
    <w:p>
      <w:pPr>
        <w:numPr>
          <w:ilvl w:val="0"/>
          <w:numId w:val="10"/>
        </w:numPr>
        <w:spacing w:after="80" w:line="264" w:lineRule="auto"/>
        <w:ind w:left="720" w:hanging="360"/>
      </w:pPr>
      <w:r>
        <w:rPr>
          <w:rFonts w:ascii="Calibri" w:hAnsi="Calibri" w:eastAsia="Calibri"/>
          <w:b/>
          <w:color w:val="0B2545"/>
          <w:sz w:val="20"/>
        </w:rPr>
        <w:t xml:space="preserve">9. FINAL CLOSE — </w:t>
      </w:r>
      <w:r>
        <w:rPr>
          <w:rFonts w:ascii="Calibri" w:hAnsi="Calibri" w:eastAsia="Calibri"/>
          <w:color w:val="111827"/>
          <w:sz w:val="20"/>
        </w:rPr>
        <w:t>Close the project after warranty completion and resolution of outstanding obligations.</w:t>
      </w:r>
    </w:p>
    <w:p>
      <w:pPr>
        <w:pStyle w:val="Heading2"/>
      </w:pPr>
      <w:r>
        <w:rPr>
          <w:rFonts w:ascii="Calibri" w:hAnsi="Calibri" w:eastAsia="Calibri"/>
          <w:b w:val="0"/>
          <w:i w:val="0"/>
          <w:color w:val="111827"/>
        </w:rPr>
        <w:t>Layer 2 — Detailed Workflow</w:t>
      </w:r>
    </w:p>
    <w:p>
      <w:pPr>
        <w:numPr>
          <w:ilvl w:val="0"/>
          <w:numId w:val="10"/>
        </w:numPr>
        <w:spacing w:after="80" w:line="264" w:lineRule="auto"/>
        <w:ind w:left="720" w:hanging="360"/>
      </w:pPr>
      <w:r>
        <w:rPr>
          <w:rFonts w:ascii="Calibri" w:hAnsi="Calibri" w:eastAsia="Calibri"/>
          <w:b/>
          <w:color w:val="0B2545"/>
          <w:sz w:val="20"/>
        </w:rPr>
        <w:t xml:space="preserve">L1-1 INITIAL CONTACT — </w:t>
      </w:r>
      <w:r>
        <w:rPr>
          <w:rFonts w:ascii="Calibri" w:hAnsi="Calibri" w:eastAsia="Calibri"/>
          <w:color w:val="111827"/>
          <w:sz w:val="20"/>
        </w:rPr>
        <w:t>Project Start. Project identity, client/project record, and initial contact.</w:t>
      </w:r>
    </w:p>
    <w:p>
      <w:pPr>
        <w:numPr>
          <w:ilvl w:val="0"/>
          <w:numId w:val="10"/>
        </w:numPr>
        <w:spacing w:after="80" w:line="264" w:lineRule="auto"/>
        <w:ind w:left="720" w:hanging="360"/>
      </w:pPr>
      <w:r>
        <w:rPr>
          <w:rFonts w:ascii="Calibri" w:hAnsi="Calibri" w:eastAsia="Calibri"/>
          <w:b/>
          <w:color w:val="0B2545"/>
          <w:sz w:val="20"/>
        </w:rPr>
        <w:t xml:space="preserve">L1-2 OPPORTUNITY &amp; QUALIFICATION — </w:t>
      </w:r>
      <w:r>
        <w:rPr>
          <w:rFonts w:ascii="Calibri" w:hAnsi="Calibri" w:eastAsia="Calibri"/>
          <w:color w:val="111827"/>
          <w:sz w:val="20"/>
        </w:rPr>
        <w:t>OPPORTUNITY &amp; QUALIFICATION. Objective intake, hard blockers, eligibility, route, and score.</w:t>
      </w:r>
    </w:p>
    <w:p>
      <w:pPr>
        <w:numPr>
          <w:ilvl w:val="0"/>
          <w:numId w:val="10"/>
        </w:numPr>
        <w:spacing w:after="80" w:line="264" w:lineRule="auto"/>
        <w:ind w:left="720" w:hanging="360"/>
      </w:pPr>
      <w:r>
        <w:rPr>
          <w:rFonts w:ascii="Calibri" w:hAnsi="Calibri" w:eastAsia="Calibri"/>
          <w:b/>
          <w:color w:val="0B2545"/>
          <w:sz w:val="20"/>
        </w:rPr>
        <w:t xml:space="preserve">L1-3 G1 — QUALIFIED &amp; COMMERCIALLY ENGAGED — </w:t>
      </w:r>
      <w:r>
        <w:rPr>
          <w:rFonts w:ascii="Calibri" w:hAnsi="Calibri" w:eastAsia="Calibri"/>
          <w:color w:val="111827"/>
          <w:sz w:val="20"/>
        </w:rPr>
        <w:t>G1 — QUALIFIED &amp; COMMERCIALLY ENGAGED; Commercial Pathway; APPROVAL MATRIX — FORMS &amp; ACTIONS. Commercial route, Gate 1 decision, payment/LOI controls, approval authority.</w:t>
      </w:r>
    </w:p>
    <w:p>
      <w:pPr>
        <w:numPr>
          <w:ilvl w:val="0"/>
          <w:numId w:val="10"/>
        </w:numPr>
        <w:spacing w:after="80" w:line="264" w:lineRule="auto"/>
        <w:ind w:left="720" w:hanging="360"/>
      </w:pPr>
      <w:r>
        <w:rPr>
          <w:rFonts w:ascii="Calibri" w:hAnsi="Calibri" w:eastAsia="Calibri"/>
          <w:b/>
          <w:color w:val="0B2545"/>
          <w:sz w:val="20"/>
        </w:rPr>
        <w:t xml:space="preserve">L1-4 G2 — TECHNICAL COMMITMENT — </w:t>
      </w:r>
      <w:r>
        <w:rPr>
          <w:rFonts w:ascii="Calibri" w:hAnsi="Calibri" w:eastAsia="Calibri"/>
          <w:color w:val="111827"/>
          <w:sz w:val="20"/>
        </w:rPr>
        <w:t>PRE-CONSTRUCTION; G2 — PROJECT / TECHNICAL COMMITMENT; RM — RESPONSIBILITY MATRIX. Design, site, estimate, scope, responsibilities, and technical commitment.</w:t>
      </w:r>
    </w:p>
    <w:p>
      <w:pPr>
        <w:numPr>
          <w:ilvl w:val="0"/>
          <w:numId w:val="10"/>
        </w:numPr>
        <w:spacing w:after="80" w:line="264" w:lineRule="auto"/>
        <w:ind w:left="720" w:hanging="360"/>
      </w:pPr>
      <w:r>
        <w:rPr>
          <w:rFonts w:ascii="Calibri" w:hAnsi="Calibri" w:eastAsia="Calibri"/>
          <w:b/>
          <w:color w:val="0B2545"/>
          <w:sz w:val="20"/>
        </w:rPr>
        <w:t xml:space="preserve">L1-5 G3 — PRODUCTION AUTHORIZATION — </w:t>
      </w:r>
      <w:r>
        <w:rPr>
          <w:rFonts w:ascii="Calibri" w:hAnsi="Calibri" w:eastAsia="Calibri"/>
          <w:color w:val="111827"/>
          <w:sz w:val="20"/>
        </w:rPr>
        <w:t>PRODUCTION READINESS; G3 — PRODUCTION AUTHORIZATION. Approved products, changes, procurement readiness, capacity, and release.</w:t>
      </w:r>
    </w:p>
    <w:p>
      <w:pPr>
        <w:numPr>
          <w:ilvl w:val="0"/>
          <w:numId w:val="10"/>
        </w:numPr>
        <w:spacing w:after="80" w:line="264" w:lineRule="auto"/>
        <w:ind w:left="720" w:hanging="360"/>
      </w:pPr>
      <w:r>
        <w:rPr>
          <w:rFonts w:ascii="Calibri" w:hAnsi="Calibri" w:eastAsia="Calibri"/>
          <w:b/>
          <w:color w:val="0B2545"/>
          <w:sz w:val="20"/>
        </w:rPr>
        <w:t xml:space="preserve">L1-6 G4 — FACTORY RELEASE — </w:t>
      </w:r>
      <w:r>
        <w:rPr>
          <w:rFonts w:ascii="Calibri" w:hAnsi="Calibri" w:eastAsia="Calibri"/>
          <w:color w:val="111827"/>
          <w:sz w:val="20"/>
        </w:rPr>
        <w:t>FACTORY PRODUCTION; G4 — FACTORY COMPLETION / RELEASE. Production schedule, factory quality, inspection, transport readiness, and module sign-off.</w:t>
      </w:r>
    </w:p>
    <w:p>
      <w:pPr>
        <w:numPr>
          <w:ilvl w:val="0"/>
          <w:numId w:val="10"/>
        </w:numPr>
        <w:spacing w:after="80" w:line="264" w:lineRule="auto"/>
        <w:ind w:left="720" w:hanging="360"/>
      </w:pPr>
      <w:r>
        <w:rPr>
          <w:rFonts w:ascii="Calibri" w:hAnsi="Calibri" w:eastAsia="Calibri"/>
          <w:b/>
          <w:color w:val="0B2545"/>
          <w:sz w:val="20"/>
        </w:rPr>
        <w:t xml:space="preserve">L1-7 G5 — WARRANTY START — </w:t>
      </w:r>
      <w:r>
        <w:rPr>
          <w:rFonts w:ascii="Calibri" w:hAnsi="Calibri" w:eastAsia="Calibri"/>
          <w:color w:val="111827"/>
          <w:sz w:val="20"/>
        </w:rPr>
        <w:t>DELIVERY / PROJECT COMPLETION; G5 — PROJECT COMPLETION / WARRANTY START. Delivery, installation, site readiness, deficiencies, completion, and warranty Day 0.</w:t>
      </w:r>
    </w:p>
    <w:p>
      <w:pPr>
        <w:numPr>
          <w:ilvl w:val="0"/>
          <w:numId w:val="10"/>
        </w:numPr>
        <w:spacing w:after="80" w:line="264" w:lineRule="auto"/>
        <w:ind w:left="720" w:hanging="360"/>
      </w:pPr>
      <w:r>
        <w:rPr>
          <w:rFonts w:ascii="Calibri" w:hAnsi="Calibri" w:eastAsia="Calibri"/>
          <w:b/>
          <w:color w:val="0B2545"/>
          <w:sz w:val="20"/>
        </w:rPr>
        <w:t xml:space="preserve">L1-8 COMMISSIONING &amp; WARRANTY — </w:t>
      </w:r>
      <w:r>
        <w:rPr>
          <w:rFonts w:ascii="Calibri" w:hAnsi="Calibri" w:eastAsia="Calibri"/>
          <w:color w:val="111827"/>
          <w:sz w:val="20"/>
        </w:rPr>
        <w:t>COMMISSIONING &amp; WARRANTY. Commissioning support, handover, warranty service, and 30/60/90 follow-up.</w:t>
      </w:r>
    </w:p>
    <w:p>
      <w:pPr>
        <w:numPr>
          <w:ilvl w:val="0"/>
          <w:numId w:val="10"/>
        </w:numPr>
        <w:spacing w:after="80" w:line="264" w:lineRule="auto"/>
        <w:ind w:left="720" w:hanging="360"/>
      </w:pPr>
      <w:r>
        <w:rPr>
          <w:rFonts w:ascii="Calibri" w:hAnsi="Calibri" w:eastAsia="Calibri"/>
          <w:b/>
          <w:color w:val="0B2545"/>
          <w:sz w:val="20"/>
        </w:rPr>
        <w:t xml:space="preserve">L1-9 FINAL CLOSE — </w:t>
      </w:r>
      <w:r>
        <w:rPr>
          <w:rFonts w:ascii="Calibri" w:hAnsi="Calibri" w:eastAsia="Calibri"/>
          <w:color w:val="111827"/>
          <w:sz w:val="20"/>
        </w:rPr>
        <w:t>Project Close-out. Closeout report, as-built package, open-obligation reconciliation, and final close.</w:t>
      </w:r>
    </w:p>
    <w:p>
      <w:pPr>
        <w:pStyle w:val="Heading2"/>
      </w:pPr>
      <w:r>
        <w:rPr>
          <w:rFonts w:ascii="Calibri" w:hAnsi="Calibri" w:eastAsia="Calibri"/>
          <w:b w:val="0"/>
          <w:i w:val="0"/>
          <w:color w:val="111827"/>
        </w:rPr>
        <w:t>Layer 3 — Execution / Forms</w:t>
      </w:r>
    </w:p>
    <w:p>
      <w:pPr>
        <w:numPr>
          <w:ilvl w:val="0"/>
          <w:numId w:val="10"/>
        </w:numPr>
        <w:spacing w:after="80" w:line="264" w:lineRule="auto"/>
        <w:ind w:left="720" w:hanging="360"/>
      </w:pPr>
      <w:r>
        <w:rPr>
          <w:rFonts w:ascii="Calibri" w:hAnsi="Calibri" w:eastAsia="Calibri"/>
          <w:color w:val="111827"/>
          <w:sz w:val="20"/>
        </w:rPr>
        <w:t>52 controlled form definitions mapped to canonical L2 nodes, lifecycle touchpoints, roles, approval roles, applicability, source availability, and source pages.</w:t>
      </w:r>
    </w:p>
    <w:p>
      <w:pPr>
        <w:numPr>
          <w:ilvl w:val="0"/>
          <w:numId w:val="10"/>
        </w:numPr>
        <w:spacing w:after="80" w:line="264" w:lineRule="auto"/>
        <w:ind w:left="720" w:hanging="360"/>
      </w:pPr>
      <w:r>
        <w:rPr>
          <w:rFonts w:ascii="Calibri" w:hAnsi="Calibri" w:eastAsia="Calibri"/>
          <w:color w:val="111827"/>
          <w:sz w:val="20"/>
        </w:rPr>
        <w:t>A six-step opportunity execution pipeline: Objective Intake / Evidence Dossier; Hard Blockers / Eligibility Screen; Plan Qualification / Class D Readiness; Commercial Routing / Path Assignment; CEO Sign-Off / LOI Governance; Gate 1 Handoff / Dossier Package.</w:t>
      </w:r>
    </w:p>
    <w:p>
      <w:pPr>
        <w:numPr>
          <w:ilvl w:val="0"/>
          <w:numId w:val="10"/>
        </w:numPr>
        <w:spacing w:after="80" w:line="264" w:lineRule="auto"/>
        <w:ind w:left="720" w:hanging="360"/>
      </w:pPr>
      <w:r>
        <w:rPr>
          <w:rFonts w:ascii="Calibri" w:hAnsi="Calibri" w:eastAsia="Calibri"/>
          <w:color w:val="111827"/>
          <w:sz w:val="20"/>
        </w:rPr>
        <w:t>Seven mandatory opportunity facts: client organization, relationship tier, decision authority, storeys, gross floor area, site/land status, and design maturity, with optional budget, funding, timeline, consultant, contact, and modular-compatibility context.</w:t>
      </w:r>
    </w:p>
    <w:p>
      <w:pPr>
        <w:numPr>
          <w:ilvl w:val="0"/>
          <w:numId w:val="10"/>
        </w:numPr>
        <w:spacing w:after="80" w:line="264" w:lineRule="auto"/>
        <w:ind w:left="720" w:hanging="360"/>
      </w:pPr>
      <w:r>
        <w:rPr>
          <w:rFonts w:ascii="Calibri" w:hAnsi="Calibri" w:eastAsia="Calibri"/>
          <w:color w:val="111827"/>
          <w:sz w:val="20"/>
        </w:rPr>
        <w:t>Editable custom opportunity steps and step fields, editable L3 form titles/descriptions/fields, custom L3 execution items, and editable Approval Matrix / Responsibility Matrix rows and columns.</w:t>
      </w:r>
    </w:p>
    <w:p>
      <w:pPr>
        <w:numPr>
          <w:ilvl w:val="0"/>
          <w:numId w:val="10"/>
        </w:numPr>
        <w:spacing w:after="80" w:line="264" w:lineRule="auto"/>
        <w:ind w:left="720" w:hanging="360"/>
      </w:pPr>
      <w:r>
        <w:rPr>
          <w:rFonts w:ascii="Calibri" w:hAnsi="Calibri" w:eastAsia="Calibri"/>
          <w:color w:val="111827"/>
          <w:sz w:val="20"/>
        </w:rPr>
        <w:t>Completion controls for required fields, conditional applicability, N/A reasons, signatures, approvals, task status, stale snapshots, evidence references, attachments, and audit events.</w:t>
      </w:r>
    </w:p>
    <w:p>
      <w:pPr>
        <w:numPr>
          <w:ilvl w:val="0"/>
          <w:numId w:val="10"/>
        </w:numPr>
        <w:spacing w:after="80" w:line="264" w:lineRule="auto"/>
        <w:ind w:left="720" w:hanging="360"/>
      </w:pPr>
      <w:r>
        <w:rPr>
          <w:rFonts w:ascii="Calibri" w:hAnsi="Calibri" w:eastAsia="Calibri"/>
          <w:color w:val="111827"/>
          <w:sz w:val="20"/>
        </w:rPr>
        <w:t>Controlled operational bindings and computed/read-only fields remain protected even when user-facing labels are customized.</w:t>
      </w:r>
    </w:p>
    <w:p>
      <w:pPr>
        <w:pStyle w:val="Heading1"/>
      </w:pPr>
      <w:r>
        <w:rPr>
          <w:rFonts w:ascii="Calibri" w:hAnsi="Calibri" w:eastAsia="Calibri"/>
          <w:b w:val="0"/>
          <w:i w:val="0"/>
          <w:color w:val="111827"/>
        </w:rPr>
        <w:t>3. Requirement-to-system traceability</w:t>
      </w:r>
    </w:p>
    <w:p>
      <w:pPr>
        <w:spacing w:after="200"/>
      </w:pPr>
      <w:r>
        <w:rPr>
          <w:rFonts w:ascii="Calibri" w:hAnsi="Calibri" w:eastAsia="Calibri"/>
          <w:b w:val="0"/>
          <w:i w:val="0"/>
          <w:color w:val="111827"/>
          <w:sz w:val="22"/>
        </w:rPr>
        <w:t>Each JF requirement below is kept as one numbered record. The mapping deliberately separates the requirement from the system behavior and from the boundary that still needs ProFab business or legal ownership.</w:t>
      </w:r>
    </w:p>
    <w:p>
      <w:pPr>
        <w:pStyle w:val="Heading2"/>
      </w:pPr>
      <w:r>
        <w:rPr>
          <w:rFonts w:ascii="Calibri" w:hAnsi="Calibri" w:eastAsia="Calibri"/>
          <w:b w:val="0"/>
          <w:i w:val="0"/>
          <w:color w:val="111827"/>
        </w:rPr>
        <w:t>3.1 Qualification and commercial front end</w:t>
      </w:r>
    </w:p>
    <w:p>
      <w:pPr>
        <w:pStyle w:val="Heading2"/>
        <w:keepNext/>
      </w:pPr>
      <w:r>
        <w:rPr>
          <w:rFonts w:ascii="Calibri" w:hAnsi="Calibri" w:eastAsia="Calibri"/>
          <w:b/>
          <w:color w:val="2E74B5"/>
          <w:sz w:val="26"/>
        </w:rPr>
        <w:t>JF-01  /  Lifecycle from first contact to end of warranty</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asked for a visible end-to-end lifecycle beginning at initial client contact and ending only after commissioning, warranty, and closeout.</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lifecycle start/end, warranty, handover, and close file.</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L1 runs from INITIAL CONTACT through OPPORTUNITY &amp; QUALIFICATION, G1–G5, COMMISSIONING &amp; WARRANTY, and FINAL CLOSE. L2 and L3 provide the drill-down evidence below the same lifecycle.</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createDefaultHighLevelProcess; DETAILED_LIFECYCLE_IDS; close-out and warranty execution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Warranty duration and final close criteria remain project-specific data entered by authorized users.</w:t>
      </w:r>
    </w:p>
    <w:p>
      <w:pPr>
        <w:pStyle w:val="Heading2"/>
        <w:keepNext/>
      </w:pPr>
      <w:r>
        <w:rPr>
          <w:rFonts w:ascii="Calibri" w:hAnsi="Calibri" w:eastAsia="Calibri"/>
          <w:b/>
          <w:color w:val="2E74B5"/>
          <w:sz w:val="26"/>
        </w:rPr>
        <w:t>JF-02  /  Keep the high-level view simple and grouped</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emphasized a simple visual overview and asked that the high-level layer not become one node for every detailed milestone.</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high-level first, then break it down; keep the visual simple.</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system compresses L1 to nine nodes. Detailed process nodes, supporting controls, forms, and evidence are grouped below L1 rather than promoted into separate L1 nodes.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Nine-node compact scaffold; legacy 13-node default upgrade; explicit L1-to-L2 link map.</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Users can still add or edit custom workflow content; the compact default is preserved for the standard ProFab lifecycle.</w:t>
      </w:r>
    </w:p>
    <w:p>
      <w:pPr>
        <w:pStyle w:val="Heading2"/>
        <w:keepNext/>
      </w:pPr>
      <w:r>
        <w:rPr>
          <w:rFonts w:ascii="Calibri" w:hAnsi="Calibri" w:eastAsia="Calibri"/>
          <w:b/>
          <w:color w:val="2E74B5"/>
          <w:sz w:val="26"/>
        </w:rPr>
        <w:t>JF-03  /  Qualification must capture decision-useful facts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Qualification should capture who the client is, who can decide, project scale, site/land status, design maturity, budget/funding, timeline, consultants, and commitment.</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2 and 5: qualification questions, objective evidence, authority, scale, site, design, budget, funding, and consultants.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Opportunity L3 requires a seven-fact baseline and provides optional context fields for contact, budget, funding, schedule, consultants, occupancy, and modular compatibility. The form and steps are editable within the execution layer.</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opportunity-intake-execution-sheet; opportunity-rules; seven mandatory fact baseline.</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final fact set and required/conditional status should be confirmed by the business owner for each route.</w:t>
      </w:r>
    </w:p>
    <w:p>
      <w:pPr>
        <w:pStyle w:val="Heading2"/>
        <w:keepNext/>
      </w:pPr>
      <w:r>
        <w:rPr>
          <w:rFonts w:ascii="Calibri" w:hAnsi="Calibri" w:eastAsia="Calibri"/>
          <w:b/>
          <w:color w:val="2E74B5"/>
          <w:sz w:val="26"/>
        </w:rPr>
        <w:t>JF-04  /  Turn sales judgment into evidence; hard rules first</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subjective sales judgment converted into tangible evidence and specifically rejected a score that could override a fatal condition.</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2 and 5: objective yes/no evidence, hard stops, and scoring order.</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evaluation engine applies hard rules before scoring. A score never overrides a hard rule; the system exposes hard blockers, route eligibility, risk, actions, and the evaluation result.</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opportunity-evaluation; opportunity-rules; explicit hard-rule-before-score behavior.</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Rule definitions and authority assignments are controlled configuration and should be governed by the commercial owner.</w:t>
      </w:r>
    </w:p>
    <w:p>
      <w:pPr>
        <w:pStyle w:val="Heading2"/>
        <w:keepNext/>
      </w:pPr>
      <w:r>
        <w:rPr>
          <w:rFonts w:ascii="Calibri" w:hAnsi="Calibri" w:eastAsia="Calibri"/>
          <w:b/>
          <w:color w:val="2E74B5"/>
          <w:sz w:val="26"/>
        </w:rPr>
        <w:t>JF-05  /  Support client/entity types and identity structure</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described different client types and the need to distinguish the customer/lead relationship from a project/job and its identifiers.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2, and 5: individual/company/municipality/government, customer ID, project ID, and multiple projects.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Opportunity intake records organization and relationship context; project operations maintain canonical client, lead, project, building, and module identifiers with number history.</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project-operations numbering; intake client and stakeholder fields; relationship tier.</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Identifier prefixes and numbering policy are system defaults and can be governed by ProFab operations.</w:t>
      </w:r>
    </w:p>
    <w:p>
      <w:pPr>
        <w:pStyle w:val="Heading2"/>
        <w:keepNext/>
      </w:pPr>
      <w:r>
        <w:rPr>
          <w:rFonts w:ascii="Calibri" w:hAnsi="Calibri" w:eastAsia="Calibri"/>
          <w:b/>
          <w:color w:val="2E74B5"/>
          <w:sz w:val="26"/>
        </w:rPr>
        <w:t>JF-06  /  Gate 1 must qualify, engage, and hand off</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described the first gate as qualification plus a commercial commitment/deposit or governed LOI, followed by a controlled handoff into technical work.</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2: first gate, qualification, deposit/LOI, and handoff.</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opportunity pipeline ends in Gate 1 Handoff / Dossier Package. Gate 1 requires evidence, route/sub-gate, executed engagement, payment-release evidence, and LOI approval where applicable; the G1 L2 node records the authorized decision.</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getOpportunityGate1Decision; project-operations Gate 1 checks; G1 and Commercial Pathway nodes.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Exact commercial instruments and approval roles vary by client path and must be maintained in the approval matrix.</w:t>
      </w:r>
    </w:p>
    <w:p>
      <w:pPr>
        <w:pStyle w:val="Heading2"/>
        <w:keepNext/>
      </w:pPr>
      <w:r>
        <w:rPr>
          <w:rFonts w:ascii="Calibri" w:hAnsi="Calibri" w:eastAsia="Calibri"/>
          <w:b/>
          <w:color w:val="2E74B5"/>
          <w:sz w:val="26"/>
        </w:rPr>
        <w:t>JF-07  /  Class D to C to B to A maturity</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required a clear progression from early Class D estimating through more mature C, B, and A estimates, with the estimate becoming more reliable as design develops.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2, and 4: Class D/C/B/A and design maturity.</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CEC is a controlled L3 form family. Project operations calculate Class D using project inputs and track estimate versions, convergence tasks, evidence, and maturity gates through D→C→B→A.</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CEC 2.10 form; class-D calculator; estimate version and convergence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Estimate factors, exclusions, and approval thresholds still require project-specific estimator and management judgment.</w:t>
      </w:r>
    </w:p>
    <w:p>
      <w:pPr>
        <w:pStyle w:val="Heading2"/>
        <w:keepNext/>
      </w:pPr>
      <w:r>
        <w:rPr>
          <w:rFonts w:ascii="Calibri" w:hAnsi="Calibri" w:eastAsia="Calibri"/>
          <w:b/>
          <w:color w:val="2E74B5"/>
          <w:sz w:val="26"/>
        </w:rPr>
        <w:t>JF-08  /  Dynamic commercial routes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routes that adapt to design maturity and client context, including CSA, PCS, Class D, governed LOI, consultation, hold/exception, and no-go outcomes.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2, and 4: dynamic routes, no-design consultation, and route flexibility.</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Commercial Pathway is an L2 companion node. Opportunity routing exposes route handles for Class D, CSA, PCS, Governed LOI, technical review, hold/exception, and no-go, with no-design cases routed through consultation/technical review.</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opportunity-routing; opportunity-decision-node; Commercial Pathway and route handles.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Route eligibility is rule-driven, but the business must approve route definitions and any exception authority.</w:t>
      </w:r>
    </w:p>
    <w:p>
      <w:pPr>
        <w:pStyle w:val="Heading2"/>
      </w:pPr>
      <w:r>
        <w:rPr>
          <w:rFonts w:ascii="Calibri" w:hAnsi="Calibri" w:eastAsia="Calibri"/>
          <w:b w:val="0"/>
          <w:i w:val="0"/>
          <w:color w:val="111827"/>
        </w:rPr>
        <w:t>3.2 Technical commitment through warranty</w:t>
      </w:r>
    </w:p>
    <w:p>
      <w:pPr>
        <w:pStyle w:val="Heading2"/>
        <w:keepNext/>
      </w:pPr>
      <w:r>
        <w:rPr>
          <w:rFonts w:ascii="Calibri" w:hAnsi="Calibri" w:eastAsia="Calibri"/>
          <w:b/>
          <w:color w:val="2E74B5"/>
          <w:sz w:val="26"/>
        </w:rPr>
        <w:t>JF-09  /  Pre-construction is the largest technical phase</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described pre-construction as the main technical phase: site, design, consultants, feasibility, estimates, scope, responsibility, exceptions, and technical boundary.</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2 and 4: pre-construction depth, site/design/consultants, scope, and responsibility.</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L2 places PRE-CONSTRUCTION and G2 under the fourth L1 node. The L3 register maps FS, PDAF, SDR, CEC, RFI, SER, SOW, SMO, RM, PS, and related documents into the phase, while project operations record the design boundary and procurement unlock.</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DEFAULT_HIGH_LEVEL_L2_LINKS; pre-construction L3 forms; design-boundary and responsibility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final responsibility split and technical acceptance thresholds remain project- and contract-specific.</w:t>
      </w:r>
    </w:p>
    <w:p>
      <w:pPr>
        <w:pStyle w:val="Heading2"/>
        <w:keepNext/>
      </w:pPr>
      <w:r>
        <w:rPr>
          <w:rFonts w:ascii="Calibri" w:hAnsi="Calibri" w:eastAsia="Calibri"/>
          <w:b/>
          <w:color w:val="2E74B5"/>
          <w:sz w:val="26"/>
        </w:rPr>
        <w:t>JF-10  /  Commercial agreement and payment hard gates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required signed commercial documents and payment milestones to act as hard release conditions, supported by invoice, receipt, and approval evidence.</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 1: sales agreement, production payments, invoices/receipts, and hard gates.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SA, EDAT, PCS, PSO, CD, CO, CT, and ODN are available in the controlled register. Project operations implement milestone payments, invoice/receipt evidence, explicit payment release, and hard gate readiness.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payment plan and release controls; commercial form metadata; Gate 1 readiness checks.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default 25/25/25/25 milestone pattern is a system preset, not a final commercial policy; contract terms govern actual releases.</w:t>
      </w:r>
    </w:p>
    <w:p>
      <w:pPr>
        <w:pStyle w:val="Heading2"/>
        <w:keepNext/>
      </w:pPr>
      <w:r>
        <w:rPr>
          <w:rFonts w:ascii="Calibri" w:hAnsi="Calibri" w:eastAsia="Calibri"/>
          <w:b/>
          <w:color w:val="2E74B5"/>
          <w:sz w:val="26"/>
        </w:rPr>
        <w:t>JF-11  /  Production readiness before procurement and start</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a controlled transition from technical commitment into product signoff, procurement, capacity, production schedule, and production authorization.</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production payment gates, product signoff, and pre-production readiness.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PRODUCTION READINESS and G3 form an L2 pair. PSO and MPS are linked into the phase; procurement unlock, capacity checks, predecessor readiness, and production release are evaluated before the factory stage.</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production readiness controls; PSO 2.15; MPS 3.1; G3 readiness rules.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Capacity, predecessor, and procurement values must be maintained against live factory and supplier information.</w:t>
      </w:r>
    </w:p>
    <w:p>
      <w:pPr>
        <w:pStyle w:val="Heading2"/>
        <w:keepNext/>
      </w:pPr>
      <w:r>
        <w:rPr>
          <w:rFonts w:ascii="Calibri" w:hAnsi="Calibri" w:eastAsia="Calibri"/>
          <w:b/>
          <w:color w:val="2E74B5"/>
          <w:sz w:val="26"/>
        </w:rPr>
        <w:t>JF-12  /  Factory production, QA, and release</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required factory production controls, quality evidence, inspection, transport readiness, and a factory-completion sign-off before delivery.</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production, factory QA, inspection, and release.</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FACTORY PRODUCTION and G4 are linked under L1-6. MPS, MQC, MIR, TRR, and MSO are represented as L3 records, and G4 requires factory completion and release evidence.</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Factory form group 3.1–3.5; factory release readiness; MSO signature/approval semantics.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system controls evidence and approvals; physical inspection quality remains an operational responsibility.</w:t>
      </w:r>
    </w:p>
    <w:p>
      <w:pPr>
        <w:pStyle w:val="Heading2"/>
        <w:keepNext/>
      </w:pPr>
      <w:r>
        <w:rPr>
          <w:rFonts w:ascii="Calibri" w:hAnsi="Calibri" w:eastAsia="Calibri"/>
          <w:b/>
          <w:color w:val="2E74B5"/>
          <w:sz w:val="26"/>
        </w:rPr>
        <w:t>JF-13  /  Delivery, installation, site readiness, and incidents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described delivery and site work as a separate operational phase with receipt, foundation, utilities, access, installation, inspection, damage, safety, and incident controls.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delivery, reception, site readiness, foundation/utilities/access, installation, and incident handling.</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DELIVERY / PROJECT COMPLETION contains site documents and five secondary gates: civil, foundation, utilities, site-access, and pre-delivery. The L3 register includes SSP, MDR, MAI, MIC, MSI, MALR, WSVR, UCV, MDAR, IRF, and IRL.</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delivery-project-completion node; five secondary gates; On-Site form group 4.1–4.10.1.</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Site acceptance evidence and responsibility assignments must be completed for each project and jurisdiction.</w:t>
      </w:r>
    </w:p>
    <w:p>
      <w:pPr>
        <w:pStyle w:val="Heading2"/>
        <w:keepNext/>
      </w:pPr>
      <w:r>
        <w:rPr>
          <w:rFonts w:ascii="Calibri" w:hAnsi="Calibri" w:eastAsia="Calibri"/>
          <w:b/>
          <w:color w:val="2E74B5"/>
          <w:sz w:val="26"/>
        </w:rPr>
        <w:t>JF-14  /  Completion, commissioning, handover, and deficiencies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required a formal completion path that manages deficiencies, final inspection, manuals/as-builts, handover, and commissioning before warranty and closeout.</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receipt/completion sign-off, manuals, commissioning, handover, deficiencies, and warranty start.</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G5 is the controlled transition from delivery/project completion into warranty. COMMISSIONING &amp; WARRANTY carries final inspection, handover, as-built, delegated design, installation support, satisfaction, and deficiency tracking.</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DPLR, FIR, ABDP, CSHF, DDSS, MISS; G5 warranty-Day-0 checks; completion sign-off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Final handover acceptance and residual deficiency tolerances are contractual/project decisions.</w:t>
      </w:r>
    </w:p>
    <w:p>
      <w:pPr>
        <w:pStyle w:val="Heading2"/>
        <w:keepNext/>
      </w:pPr>
      <w:r>
        <w:rPr>
          <w:rFonts w:ascii="Calibri" w:hAnsi="Calibri" w:eastAsia="Calibri"/>
          <w:b/>
          <w:color w:val="2E74B5"/>
          <w:sz w:val="26"/>
        </w:rPr>
        <w:t>JF-15  /  Warranty tracking and a solid finish line</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warranty to be an explicit managed phase with a clear finish line and 30/60/90-day follow-up rather than an informal ending.</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warranty start, 30/60/90 follow-up, and close file.</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WMA records warranty scope/start/duration and project operations schedule Day 0, expiry, and 30/60/90 follow-ups. Close-out requires warranty completion and no open obligations.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scheduleWarranty; WMA 5.5; COMMISSIONING &amp; WARRANTY; Project Close-out readiness.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Warranty duration, service levels, and follow-up ownership are entered from the applicable contract and project plan.</w:t>
      </w:r>
    </w:p>
    <w:p>
      <w:pPr>
        <w:pStyle w:val="Heading2"/>
      </w:pPr>
      <w:r>
        <w:rPr>
          <w:rFonts w:ascii="Calibri" w:hAnsi="Calibri" w:eastAsia="Calibri"/>
          <w:b w:val="0"/>
          <w:i w:val="0"/>
          <w:color w:val="111827"/>
        </w:rPr>
        <w:t>3.3 Governance, forms, connectivity, and usability</w:t>
      </w:r>
    </w:p>
    <w:p>
      <w:pPr>
        <w:pStyle w:val="Heading2"/>
        <w:keepNext/>
      </w:pPr>
      <w:r>
        <w:rPr>
          <w:rFonts w:ascii="Calibri" w:hAnsi="Calibri" w:eastAsia="Calibri"/>
          <w:b/>
          <w:color w:val="2E74B5"/>
          <w:sz w:val="26"/>
        </w:rPr>
        <w:t>JF-16  /  Roles, responsibility, and approval authority</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repeatedly called for clear responsibility, approval roles, and decision authority, including an RM and practical approval/signoff controls.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2, 4, and 5: decision authority, RM, role/responsibility, and signoffs.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L2 contains supporting Approval Matrix and RM Responsibility Matrix nodes. L3 matrix editors allow rows, columns, and approval assignments to be maintained, while forms carry responsibleRole, approvalRoles, signatures, and approvals.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matrix-config; execution-view matrix editor; form responsible/approval metadata; payment authority rules.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system provides the mechanism; management must approve the actual role matrix and delegation limits.</w:t>
      </w:r>
    </w:p>
    <w:p>
      <w:pPr>
        <w:pStyle w:val="Heading2"/>
        <w:keepNext/>
      </w:pPr>
      <w:r>
        <w:rPr>
          <w:rFonts w:ascii="Calibri" w:hAnsi="Calibri" w:eastAsia="Calibri"/>
          <w:b/>
          <w:color w:val="2E74B5"/>
          <w:sz w:val="26"/>
        </w:rPr>
        <w:t>JF-17  /  Controlled forms, clarity, language, and revisions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standardized, user-friendly legal/operational documents with controlled terms, signatures, revisions, and attention to bilingual/legal requirements where applicable.</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 4: legal clarity, bilingual/French discussion, standardized terms, signatures, and revisions; Combined Forms.pdf — controlled index and form packet.</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L3 catalog preserves form index, code, title, stage, roles, applicability, signature/approval requirements, source availability, page ranges, and version metadata. Form snapshots become stale after edits and require re-approval where appropriate.</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52-form register; source availability/pages/version metadata; snapshot/stale controls; visible source-package QA banner.</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source-dependent follow-up</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system can store bilingual labels and controlled metadata, but it does not certify legal sufficiency, translation accuracy, or jurisdictional compliance.</w:t>
      </w:r>
    </w:p>
    <w:p>
      <w:pPr>
        <w:pStyle w:val="Heading2"/>
        <w:keepNext/>
      </w:pPr>
      <w:r>
        <w:rPr>
          <w:rFonts w:ascii="Calibri" w:hAnsi="Calibri" w:eastAsia="Calibri"/>
          <w:b/>
          <w:color w:val="2E74B5"/>
          <w:sz w:val="26"/>
        </w:rPr>
        <w:t>JF-18  /  Clear L3 forms and structured evidence</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forms that are easy to follow and complete, with owners, dependencies, checklists, evidence, attachments, and explicit required information.</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2, 4, and 5: structured evidence, clear forms, checklists, owners, and dependencies.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L3 execution sheets render typed fields, sections, required/conditional logic, help text, attachments, evidence references, task statuses, signatures, approvals, and completion summaries. Users can add/edit custom form fields and opportunity-step fields.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execution-form-sheet; opportunity-custom-step-sheet; profab-form-runtime; execution completion validation.</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User-entered evidence quality still depends on the assigned owner and review authority.</w:t>
      </w:r>
    </w:p>
    <w:p>
      <w:pPr>
        <w:pStyle w:val="Heading2"/>
        <w:keepNext/>
      </w:pPr>
      <w:r>
        <w:rPr>
          <w:rFonts w:ascii="Calibri" w:hAnsi="Calibri" w:eastAsia="Calibri"/>
          <w:b/>
          <w:color w:val="2E74B5"/>
          <w:sz w:val="26"/>
        </w:rPr>
        <w:t>JF-19  /  All layers must be connected</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the high-level visual, detailed workflow, and forms to be connected so users can move from summary to execution without isolated nodes.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and 4: high-level visual first, then detail, then forms; avoid disconnected/spaghetti process.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Explicit L1-to-L2 links place every L2 node under a designated L1 owner. L2 conditions point to L3 execution items, and validation detects broken references, orphaned items, unreachable routes, invalid handles, and missing links.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DEFAULT_HIGH_LEVEL_L2_LINKS; linkedLayer2NodeIds/linkedDetailedNodeIds; validation.ts; context minimaps.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Custom user-authored nodes still require normal validation before they are considered release-ready.</w:t>
      </w:r>
    </w:p>
    <w:p>
      <w:pPr>
        <w:pStyle w:val="Heading2"/>
        <w:keepNext/>
      </w:pPr>
      <w:r>
        <w:rPr>
          <w:rFonts w:ascii="Calibri" w:hAnsi="Calibri" w:eastAsia="Calibri"/>
          <w:b/>
          <w:color w:val="2E74B5"/>
          <w:sz w:val="26"/>
        </w:rPr>
        <w:t>JF-20  /  Configurable steps, forms, and operational detail</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asked for an operational system that can adapt: opportunity steps, L3 form contents, responsibility tables, and project-specific execution should not be frozen.</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4, and 5: dynamic process, standard SOPs with project-specific detail, and customizable forms.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Users can add/delete/rename opportunity steps, edit step content and fields/options, add/delete/edit L3 form fields, create custom L3 items, and edit matrix rows/columns. Controlled bindings, computed values, and read-only semantics remain protected.</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opportunity-step-editor; getProfabForm formOverrides; execution item editor; matrix editor.</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 with controlled configuration</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Customization is intentionally bounded so users cannot silently remove core operational controls.</w:t>
      </w:r>
    </w:p>
    <w:p>
      <w:pPr>
        <w:pStyle w:val="Heading2"/>
        <w:keepNext/>
      </w:pPr>
      <w:r>
        <w:rPr>
          <w:rFonts w:ascii="Calibri" w:hAnsi="Calibri" w:eastAsia="Calibri"/>
          <w:b/>
          <w:color w:val="2E74B5"/>
          <w:sz w:val="26"/>
        </w:rPr>
        <w:t>JF-21  /  Autosave, recovery, auditability, and traceability</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called for practical resilience, backups/redundancy, and a traceable record of decisions and changes.</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4 and 5: redundancy, backups, process traceability, and controlled records.</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app persists locally, autosaves to the cloud with retry/flush behavior, supports undo/redo and import/export, and records audit events for operational changes. Form snapshots and source metadata support traceability.</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workflow-store; cloud-project-controls; audit event model; import/export and snapshot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This is application-level resilience; organizational backup retention, access control, and records policy remain outside the UI.</w:t>
      </w:r>
    </w:p>
    <w:p>
      <w:pPr>
        <w:pStyle w:val="Heading2"/>
        <w:keepNext/>
      </w:pPr>
      <w:r>
        <w:rPr>
          <w:rFonts w:ascii="Calibri" w:hAnsi="Calibri" w:eastAsia="Calibri"/>
          <w:b/>
          <w:color w:val="2E74B5"/>
          <w:sz w:val="26"/>
        </w:rPr>
        <w:t>JF-22  /  Expose source-package inconsistencies</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A traceable implementation must show where the supplied form package itself is incomplete or inconsistent instead of silently normalizing it.</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Combined Forms.pdf — nine-page index, included form pages, and unreadable embedded-content pages 179–193.</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system exposes source-package QA issues: the 52-record register versus the index, supplemental SMO 2.13.1, page 179–193 unusable content, DC/CD discrepancy, and included header/index mismatches.</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PROFAB_SOURCE_PACKAGE_ISSUES; source package QA banner; form sourceAvailability/sourcePages/sourceNote metadata.</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The system reports discrepancies; it does not decide which legal or controlled-form identifier should ultimately prevail.</w:t>
      </w:r>
    </w:p>
    <w:p>
      <w:pPr>
        <w:pStyle w:val="Heading2"/>
        <w:keepNext/>
      </w:pPr>
      <w:r>
        <w:rPr>
          <w:rFonts w:ascii="Calibri" w:hAnsi="Calibri" w:eastAsia="Calibri"/>
          <w:b/>
          <w:color w:val="2E74B5"/>
          <w:sz w:val="26"/>
        </w:rPr>
        <w:t>JF-23  /  Simple navigation and less spaghetti</w:t>
      </w:r>
    </w:p>
    <w:p>
      <w:pPr>
        <w:numPr>
          <w:ilvl w:val="0"/>
          <w:numId w:val="10"/>
        </w:numPr>
        <w:spacing w:after="80" w:line="264" w:lineRule="auto"/>
        <w:ind w:left="720" w:hanging="360"/>
      </w:pPr>
      <w:r>
        <w:rPr>
          <w:rFonts w:ascii="Calibri" w:hAnsi="Calibri" w:eastAsia="Calibri"/>
          <w:b/>
          <w:color w:val="0B2545"/>
          <w:sz w:val="21"/>
        </w:rPr>
        <w:t xml:space="preserve">JF requirement — </w:t>
      </w:r>
      <w:r>
        <w:rPr>
          <w:rFonts w:ascii="Calibri" w:hAnsi="Calibri" w:eastAsia="Calibri"/>
          <w:color w:val="111827"/>
          <w:sz w:val="21"/>
        </w:rPr>
        <w:t>JF wanted a process that people can follow quickly: a clear visual backbone, sensible drill-down, and less duplicated or tangled workflow logic.</w:t>
      </w:r>
    </w:p>
    <w:p>
      <w:pPr>
        <w:numPr>
          <w:ilvl w:val="0"/>
          <w:numId w:val="10"/>
        </w:numPr>
        <w:spacing w:after="80" w:line="264" w:lineRule="auto"/>
        <w:ind w:left="720" w:hanging="360"/>
      </w:pPr>
      <w:r>
        <w:rPr>
          <w:rFonts w:ascii="Calibri" w:hAnsi="Calibri" w:eastAsia="Calibri"/>
          <w:b/>
          <w:color w:val="0B2545"/>
          <w:sz w:val="20"/>
        </w:rPr>
        <w:t xml:space="preserve">Source — </w:t>
      </w:r>
      <w:r>
        <w:rPr>
          <w:rFonts w:ascii="Calibri" w:hAnsi="Calibri" w:eastAsia="Calibri"/>
          <w:color w:val="5B6472"/>
          <w:sz w:val="20"/>
        </w:rPr>
        <w:t>JF Meetings Transcripts.docx — Blocks 1, 4, and 5: simple visual, high-level first, standard SOPs, and avoidance of spaghetti.</w:t>
      </w:r>
    </w:p>
    <w:p>
      <w:pPr>
        <w:numPr>
          <w:ilvl w:val="0"/>
          <w:numId w:val="10"/>
        </w:numPr>
        <w:spacing w:after="80" w:line="264" w:lineRule="auto"/>
        <w:ind w:left="720" w:hanging="360"/>
      </w:pPr>
      <w:r>
        <w:rPr>
          <w:rFonts w:ascii="Calibri" w:hAnsi="Calibri" w:eastAsia="Calibri"/>
          <w:b/>
          <w:color w:val="0B2545"/>
          <w:sz w:val="21"/>
        </w:rPr>
        <w:t xml:space="preserve">System implementation — </w:t>
      </w:r>
      <w:r>
        <w:rPr>
          <w:rFonts w:ascii="Calibri" w:hAnsi="Calibri" w:eastAsia="Calibri"/>
          <w:color w:val="111827"/>
          <w:sz w:val="21"/>
        </w:rPr>
        <w:t>The nine-node L1 chain, grouped L2 ownership, context minimaps, route panels, opportunity step navigator, status summaries, and validation together provide the navigation backbone from lifecycle to evidence.</w:t>
      </w:r>
    </w:p>
    <w:p>
      <w:pPr>
        <w:numPr>
          <w:ilvl w:val="0"/>
          <w:numId w:val="10"/>
        </w:numPr>
        <w:spacing w:after="80" w:line="264" w:lineRule="auto"/>
        <w:ind w:left="720" w:hanging="360"/>
      </w:pPr>
      <w:r>
        <w:rPr>
          <w:rFonts w:ascii="Calibri" w:hAnsi="Calibri" w:eastAsia="Calibri"/>
          <w:b/>
          <w:color w:val="0B2545"/>
          <w:sz w:val="21"/>
        </w:rPr>
        <w:t xml:space="preserve">Implementation evidence — </w:t>
      </w:r>
      <w:r>
        <w:rPr>
          <w:rFonts w:ascii="Calibri" w:hAnsi="Calibri" w:eastAsia="Calibri"/>
          <w:color w:val="111827"/>
          <w:sz w:val="21"/>
        </w:rPr>
        <w:t>high-level workflow; layer-context-minimap; execution summaries; validation and route controls.</w:t>
      </w:r>
    </w:p>
    <w:p>
      <w:pPr>
        <w:numPr>
          <w:ilvl w:val="0"/>
          <w:numId w:val="10"/>
        </w:numPr>
        <w:spacing w:after="80" w:line="264" w:lineRule="auto"/>
        <w:ind w:left="720" w:hanging="360"/>
      </w:pPr>
      <w:r>
        <w:rPr>
          <w:rFonts w:ascii="Calibri" w:hAnsi="Calibri" w:eastAsia="Calibri"/>
          <w:b/>
          <w:color w:val="0B2545"/>
          <w:sz w:val="20"/>
        </w:rPr>
        <w:t xml:space="preserve">Coverage — </w:t>
      </w:r>
      <w:r>
        <w:rPr>
          <w:rFonts w:ascii="Calibri" w:hAnsi="Calibri" w:eastAsia="Calibri"/>
          <w:color w:val="177A77"/>
          <w:sz w:val="20"/>
        </w:rPr>
        <w:t>Implemented</w:t>
      </w:r>
    </w:p>
    <w:p>
      <w:pPr>
        <w:numPr>
          <w:ilvl w:val="0"/>
          <w:numId w:val="10"/>
        </w:numPr>
        <w:spacing w:after="160" w:line="264" w:lineRule="auto"/>
        <w:ind w:left="720" w:hanging="360"/>
      </w:pPr>
      <w:r>
        <w:rPr>
          <w:rFonts w:ascii="Calibri" w:hAnsi="Calibri" w:eastAsia="Calibri"/>
          <w:b/>
          <w:color w:val="0B2545"/>
          <w:sz w:val="20"/>
        </w:rPr>
        <w:t xml:space="preserve">Boundary — </w:t>
      </w:r>
      <w:r>
        <w:rPr>
          <w:rFonts w:ascii="Calibri" w:hAnsi="Calibri" w:eastAsia="Calibri"/>
          <w:color w:val="5B6472"/>
          <w:sz w:val="20"/>
        </w:rPr>
        <w:t>Usability will still benefit from role-specific training and a final review of labels with the people who operate each phase.</w:t>
      </w:r>
    </w:p>
    <w:p>
      <w:pPr>
        <w:pStyle w:val="Heading1"/>
      </w:pPr>
      <w:r>
        <w:rPr>
          <w:rFonts w:ascii="Calibri" w:hAnsi="Calibri" w:eastAsia="Calibri"/>
          <w:b w:val="0"/>
          <w:i w:val="0"/>
          <w:color w:val="111827"/>
        </w:rPr>
        <w:t>4. Full L1 → L2 → L3 crosswalk</w:t>
      </w:r>
    </w:p>
    <w:p>
      <w:pPr>
        <w:spacing w:after="200"/>
      </w:pPr>
      <w:r>
        <w:rPr>
          <w:rFonts w:ascii="Calibri" w:hAnsi="Calibri" w:eastAsia="Calibri"/>
          <w:b w:val="0"/>
          <w:i w:val="0"/>
          <w:color w:val="111827"/>
          <w:sz w:val="22"/>
        </w:rPr>
        <w:t>This list is the compact answer to the pyramid question: one L1 node owns a coherent set of L2 nodes, and each L2 group points to the appropriate L3 evidence and controls.</w:t>
      </w:r>
    </w:p>
    <w:p>
      <w:pPr>
        <w:numPr>
          <w:ilvl w:val="0"/>
          <w:numId w:val="11"/>
        </w:numPr>
        <w:spacing w:after="120" w:line="264" w:lineRule="auto"/>
        <w:ind w:left="720" w:hanging="360"/>
      </w:pPr>
      <w:r>
        <w:rPr>
          <w:rFonts w:ascii="Calibri" w:hAnsi="Calibri" w:eastAsia="Calibri"/>
          <w:b/>
          <w:color w:val="0B2545"/>
          <w:sz w:val="21"/>
        </w:rPr>
        <w:t>INITIAL CONTACT</w:t>
      </w:r>
      <w:r>
        <w:rPr>
          <w:rFonts w:ascii="Calibri" w:hAnsi="Calibri" w:eastAsia="Calibri"/>
          <w:color w:val="5B6472"/>
          <w:sz w:val="21"/>
        </w:rPr>
        <w:t xml:space="preserve">  →  </w:t>
      </w:r>
      <w:r>
        <w:rPr>
          <w:rFonts w:ascii="Calibri" w:hAnsi="Calibri" w:eastAsia="Calibri"/>
          <w:b/>
          <w:color w:val="2E74B5"/>
          <w:sz w:val="21"/>
        </w:rPr>
        <w:t>Project Start</w:t>
      </w:r>
      <w:r>
        <w:rPr>
          <w:rFonts w:ascii="Calibri" w:hAnsi="Calibri" w:eastAsia="Calibri"/>
          <w:color w:val="5B6472"/>
          <w:sz w:val="21"/>
        </w:rPr>
        <w:t xml:space="preserve">  →  </w:t>
      </w:r>
      <w:r>
        <w:rPr>
          <w:rFonts w:ascii="Calibri" w:hAnsi="Calibri" w:eastAsia="Calibri"/>
          <w:color w:val="111827"/>
          <w:sz w:val="21"/>
        </w:rPr>
        <w:t>Project identity and client/lead records; Corporate 1.1–1.2 as supporting context.</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Identifier uniqueness and connected start.</w:t>
      </w:r>
    </w:p>
    <w:p>
      <w:pPr>
        <w:numPr>
          <w:ilvl w:val="0"/>
          <w:numId w:val="11"/>
        </w:numPr>
        <w:spacing w:after="120" w:line="264" w:lineRule="auto"/>
        <w:ind w:left="720" w:hanging="360"/>
      </w:pPr>
      <w:r>
        <w:rPr>
          <w:rFonts w:ascii="Calibri" w:hAnsi="Calibri" w:eastAsia="Calibri"/>
          <w:b/>
          <w:color w:val="0B2545"/>
          <w:sz w:val="21"/>
        </w:rPr>
        <w:t>OPPORTUNITY &amp; QUALIFICATION</w:t>
      </w:r>
      <w:r>
        <w:rPr>
          <w:rFonts w:ascii="Calibri" w:hAnsi="Calibri" w:eastAsia="Calibri"/>
          <w:color w:val="5B6472"/>
          <w:sz w:val="21"/>
        </w:rPr>
        <w:t xml:space="preserve">  →  </w:t>
      </w:r>
      <w:r>
        <w:rPr>
          <w:rFonts w:ascii="Calibri" w:hAnsi="Calibri" w:eastAsia="Calibri"/>
          <w:b/>
          <w:color w:val="2E74B5"/>
          <w:sz w:val="21"/>
        </w:rPr>
        <w:t>OPPORTUNITY &amp; QUALIFICATION</w:t>
      </w:r>
      <w:r>
        <w:rPr>
          <w:rFonts w:ascii="Calibri" w:hAnsi="Calibri" w:eastAsia="Calibri"/>
          <w:color w:val="5B6472"/>
          <w:sz w:val="21"/>
        </w:rPr>
        <w:t xml:space="preserve">  →  </w:t>
      </w:r>
      <w:r>
        <w:rPr>
          <w:rFonts w:ascii="Calibri" w:hAnsi="Calibri" w:eastAsia="Calibri"/>
          <w:color w:val="111827"/>
          <w:sz w:val="21"/>
        </w:rPr>
        <w:t>Opportunity intake, seven mandatory facts, six steps, attachments, evidence, scoring, and route output.</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Hard rules before score; explicit step completion.</w:t>
      </w:r>
    </w:p>
    <w:p>
      <w:pPr>
        <w:numPr>
          <w:ilvl w:val="0"/>
          <w:numId w:val="11"/>
        </w:numPr>
        <w:spacing w:after="120" w:line="264" w:lineRule="auto"/>
        <w:ind w:left="720" w:hanging="360"/>
      </w:pPr>
      <w:r>
        <w:rPr>
          <w:rFonts w:ascii="Calibri" w:hAnsi="Calibri" w:eastAsia="Calibri"/>
          <w:b/>
          <w:color w:val="0B2545"/>
          <w:sz w:val="21"/>
        </w:rPr>
        <w:t>G1 — QUALIFIED &amp; COMMERCIALLY ENGAGED</w:t>
      </w:r>
      <w:r>
        <w:rPr>
          <w:rFonts w:ascii="Calibri" w:hAnsi="Calibri" w:eastAsia="Calibri"/>
          <w:color w:val="5B6472"/>
          <w:sz w:val="21"/>
        </w:rPr>
        <w:t xml:space="preserve">  →  </w:t>
      </w:r>
      <w:r>
        <w:rPr>
          <w:rFonts w:ascii="Calibri" w:hAnsi="Calibri" w:eastAsia="Calibri"/>
          <w:b/>
          <w:color w:val="2E74B5"/>
          <w:sz w:val="21"/>
        </w:rPr>
        <w:t>G1; Commercial Pathway; Approval Matrix</w:t>
      </w:r>
      <w:r>
        <w:rPr>
          <w:rFonts w:ascii="Calibri" w:hAnsi="Calibri" w:eastAsia="Calibri"/>
          <w:color w:val="5B6472"/>
          <w:sz w:val="21"/>
        </w:rPr>
        <w:t xml:space="preserve">  →  </w:t>
      </w:r>
      <w:r>
        <w:rPr>
          <w:rFonts w:ascii="Calibri" w:hAnsi="Calibri" w:eastAsia="Calibri"/>
          <w:color w:val="111827"/>
          <w:sz w:val="21"/>
        </w:rPr>
        <w:t>CSA, meetings, NDA, LOI, FS, SA, EDAT, PCS, plus payment/LOI evidence.</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Gate 1 decision, executed engagement, payment release, authority.</w:t>
      </w:r>
    </w:p>
    <w:p>
      <w:pPr>
        <w:numPr>
          <w:ilvl w:val="0"/>
          <w:numId w:val="11"/>
        </w:numPr>
        <w:spacing w:after="120" w:line="264" w:lineRule="auto"/>
        <w:ind w:left="720" w:hanging="360"/>
      </w:pPr>
      <w:r>
        <w:rPr>
          <w:rFonts w:ascii="Calibri" w:hAnsi="Calibri" w:eastAsia="Calibri"/>
          <w:b/>
          <w:color w:val="0B2545"/>
          <w:sz w:val="21"/>
        </w:rPr>
        <w:t>G2 — TECHNICAL COMMITMENT</w:t>
      </w:r>
      <w:r>
        <w:rPr>
          <w:rFonts w:ascii="Calibri" w:hAnsi="Calibri" w:eastAsia="Calibri"/>
          <w:color w:val="5B6472"/>
          <w:sz w:val="21"/>
        </w:rPr>
        <w:t xml:space="preserve">  →  </w:t>
      </w:r>
      <w:r>
        <w:rPr>
          <w:rFonts w:ascii="Calibri" w:hAnsi="Calibri" w:eastAsia="Calibri"/>
          <w:b/>
          <w:color w:val="2E74B5"/>
          <w:sz w:val="21"/>
        </w:rPr>
        <w:t>PRE-CONSTRUCTION; G2; RM</w:t>
      </w:r>
      <w:r>
        <w:rPr>
          <w:rFonts w:ascii="Calibri" w:hAnsi="Calibri" w:eastAsia="Calibri"/>
          <w:color w:val="5B6472"/>
          <w:sz w:val="21"/>
        </w:rPr>
        <w:t xml:space="preserve">  →  </w:t>
      </w:r>
      <w:r>
        <w:rPr>
          <w:rFonts w:ascii="Calibri" w:hAnsi="Calibri" w:eastAsia="Calibri"/>
          <w:color w:val="111827"/>
          <w:sz w:val="21"/>
        </w:rPr>
        <w:t>PDAF, SDR, CEC D/C/B/A, RFI, SER, SOW, SMO, RM, PS, and technical scope evidence.</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Design boundary, estimate maturity, responsibility, technical approval.</w:t>
      </w:r>
    </w:p>
    <w:p>
      <w:pPr>
        <w:numPr>
          <w:ilvl w:val="0"/>
          <w:numId w:val="11"/>
        </w:numPr>
        <w:spacing w:after="120" w:line="264" w:lineRule="auto"/>
        <w:ind w:left="720" w:hanging="360"/>
      </w:pPr>
      <w:r>
        <w:rPr>
          <w:rFonts w:ascii="Calibri" w:hAnsi="Calibri" w:eastAsia="Calibri"/>
          <w:b/>
          <w:color w:val="0B2545"/>
          <w:sz w:val="21"/>
        </w:rPr>
        <w:t>G3 — PRODUCTION AUTHORIZATION</w:t>
      </w:r>
      <w:r>
        <w:rPr>
          <w:rFonts w:ascii="Calibri" w:hAnsi="Calibri" w:eastAsia="Calibri"/>
          <w:color w:val="5B6472"/>
          <w:sz w:val="21"/>
        </w:rPr>
        <w:t xml:space="preserve">  →  </w:t>
      </w:r>
      <w:r>
        <w:rPr>
          <w:rFonts w:ascii="Calibri" w:hAnsi="Calibri" w:eastAsia="Calibri"/>
          <w:b/>
          <w:color w:val="2E74B5"/>
          <w:sz w:val="21"/>
        </w:rPr>
        <w:t>PRODUCTION READINESS; G3</w:t>
      </w:r>
      <w:r>
        <w:rPr>
          <w:rFonts w:ascii="Calibri" w:hAnsi="Calibri" w:eastAsia="Calibri"/>
          <w:color w:val="5B6472"/>
          <w:sz w:val="21"/>
        </w:rPr>
        <w:t xml:space="preserve">  →  </w:t>
      </w:r>
      <w:r>
        <w:rPr>
          <w:rFonts w:ascii="Calibri" w:hAnsi="Calibri" w:eastAsia="Calibri"/>
          <w:color w:val="111827"/>
          <w:sz w:val="21"/>
        </w:rPr>
        <w:t>PSO, MPS planning inputs, change directive/order/tracker, ODN, procurement and capacity evidence.</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Predecessors, products, changes, capacity, and payment readiness.</w:t>
      </w:r>
    </w:p>
    <w:p>
      <w:pPr>
        <w:numPr>
          <w:ilvl w:val="0"/>
          <w:numId w:val="11"/>
        </w:numPr>
        <w:spacing w:after="120" w:line="264" w:lineRule="auto"/>
        <w:ind w:left="720" w:hanging="360"/>
      </w:pPr>
      <w:r>
        <w:rPr>
          <w:rFonts w:ascii="Calibri" w:hAnsi="Calibri" w:eastAsia="Calibri"/>
          <w:b/>
          <w:color w:val="0B2545"/>
          <w:sz w:val="21"/>
        </w:rPr>
        <w:t>G4 — FACTORY RELEASE</w:t>
      </w:r>
      <w:r>
        <w:rPr>
          <w:rFonts w:ascii="Calibri" w:hAnsi="Calibri" w:eastAsia="Calibri"/>
          <w:color w:val="5B6472"/>
          <w:sz w:val="21"/>
        </w:rPr>
        <w:t xml:space="preserve">  →  </w:t>
      </w:r>
      <w:r>
        <w:rPr>
          <w:rFonts w:ascii="Calibri" w:hAnsi="Calibri" w:eastAsia="Calibri"/>
          <w:b/>
          <w:color w:val="2E74B5"/>
          <w:sz w:val="21"/>
        </w:rPr>
        <w:t>FACTORY PRODUCTION; G4</w:t>
      </w:r>
      <w:r>
        <w:rPr>
          <w:rFonts w:ascii="Calibri" w:hAnsi="Calibri" w:eastAsia="Calibri"/>
          <w:color w:val="5B6472"/>
          <w:sz w:val="21"/>
        </w:rPr>
        <w:t xml:space="preserve">  →  </w:t>
      </w:r>
      <w:r>
        <w:rPr>
          <w:rFonts w:ascii="Calibri" w:hAnsi="Calibri" w:eastAsia="Calibri"/>
          <w:color w:val="111827"/>
          <w:sz w:val="21"/>
        </w:rPr>
        <w:t>MPS, MQC, MIR, TRR, MSO.</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Factory completion, QA/inspection evidence, transport release.</w:t>
      </w:r>
    </w:p>
    <w:p>
      <w:pPr>
        <w:numPr>
          <w:ilvl w:val="0"/>
          <w:numId w:val="11"/>
        </w:numPr>
        <w:spacing w:after="120" w:line="264" w:lineRule="auto"/>
        <w:ind w:left="720" w:hanging="360"/>
      </w:pPr>
      <w:r>
        <w:rPr>
          <w:rFonts w:ascii="Calibri" w:hAnsi="Calibri" w:eastAsia="Calibri"/>
          <w:b/>
          <w:color w:val="0B2545"/>
          <w:sz w:val="21"/>
        </w:rPr>
        <w:t>G5 — WARRANTY START</w:t>
      </w:r>
      <w:r>
        <w:rPr>
          <w:rFonts w:ascii="Calibri" w:hAnsi="Calibri" w:eastAsia="Calibri"/>
          <w:color w:val="5B6472"/>
          <w:sz w:val="21"/>
        </w:rPr>
        <w:t xml:space="preserve">  →  </w:t>
      </w:r>
      <w:r>
        <w:rPr>
          <w:rFonts w:ascii="Calibri" w:hAnsi="Calibri" w:eastAsia="Calibri"/>
          <w:b/>
          <w:color w:val="2E74B5"/>
          <w:sz w:val="21"/>
        </w:rPr>
        <w:t>DELIVERY / PROJECT COMPLETION; G5</w:t>
      </w:r>
      <w:r>
        <w:rPr>
          <w:rFonts w:ascii="Calibri" w:hAnsi="Calibri" w:eastAsia="Calibri"/>
          <w:color w:val="5B6472"/>
          <w:sz w:val="21"/>
        </w:rPr>
        <w:t xml:space="preserve">  →  </w:t>
      </w:r>
      <w:r>
        <w:rPr>
          <w:rFonts w:ascii="Calibri" w:hAnsi="Calibri" w:eastAsia="Calibri"/>
          <w:color w:val="111827"/>
          <w:sz w:val="21"/>
        </w:rPr>
        <w:t>SSP, MDR, MAI, MIC, MSI, MALR, WSVR, UCV, MDAR, IRF, IRL, DPLR, WMA, FIR, CSHF.</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Five site gates, completion evidence, deficiencies, warranty Day 0.</w:t>
      </w:r>
    </w:p>
    <w:p>
      <w:pPr>
        <w:numPr>
          <w:ilvl w:val="0"/>
          <w:numId w:val="11"/>
        </w:numPr>
        <w:spacing w:after="120" w:line="264" w:lineRule="auto"/>
        <w:ind w:left="720" w:hanging="360"/>
      </w:pPr>
      <w:r>
        <w:rPr>
          <w:rFonts w:ascii="Calibri" w:hAnsi="Calibri" w:eastAsia="Calibri"/>
          <w:b/>
          <w:color w:val="0B2545"/>
          <w:sz w:val="21"/>
        </w:rPr>
        <w:t>COMMISSIONING &amp; WARRANTY</w:t>
      </w:r>
      <w:r>
        <w:rPr>
          <w:rFonts w:ascii="Calibri" w:hAnsi="Calibri" w:eastAsia="Calibri"/>
          <w:color w:val="5B6472"/>
          <w:sz w:val="21"/>
        </w:rPr>
        <w:t xml:space="preserve">  →  </w:t>
      </w:r>
      <w:r>
        <w:rPr>
          <w:rFonts w:ascii="Calibri" w:hAnsi="Calibri" w:eastAsia="Calibri"/>
          <w:b/>
          <w:color w:val="2E74B5"/>
          <w:sz w:val="21"/>
        </w:rPr>
        <w:t>COMMISSIONING &amp; WARRANTY</w:t>
      </w:r>
      <w:r>
        <w:rPr>
          <w:rFonts w:ascii="Calibri" w:hAnsi="Calibri" w:eastAsia="Calibri"/>
          <w:color w:val="5B6472"/>
          <w:sz w:val="21"/>
        </w:rPr>
        <w:t xml:space="preserve">  →  </w:t>
      </w:r>
      <w:r>
        <w:rPr>
          <w:rFonts w:ascii="Calibri" w:hAnsi="Calibri" w:eastAsia="Calibri"/>
          <w:color w:val="111827"/>
          <w:sz w:val="21"/>
        </w:rPr>
        <w:t>DDSS, MISS, ABDP, CSHF, FIR, WMA, service/follow-up tasks.</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Warranty expiry, 30/60/90 follow-up, open obligation tracking.</w:t>
      </w:r>
    </w:p>
    <w:p>
      <w:pPr>
        <w:numPr>
          <w:ilvl w:val="0"/>
          <w:numId w:val="11"/>
        </w:numPr>
        <w:spacing w:after="120" w:line="264" w:lineRule="auto"/>
        <w:ind w:left="720" w:hanging="360"/>
      </w:pPr>
      <w:r>
        <w:rPr>
          <w:rFonts w:ascii="Calibri" w:hAnsi="Calibri" w:eastAsia="Calibri"/>
          <w:b/>
          <w:color w:val="0B2545"/>
          <w:sz w:val="21"/>
        </w:rPr>
        <w:t>FINAL CLOSE</w:t>
      </w:r>
      <w:r>
        <w:rPr>
          <w:rFonts w:ascii="Calibri" w:hAnsi="Calibri" w:eastAsia="Calibri"/>
          <w:color w:val="5B6472"/>
          <w:sz w:val="21"/>
        </w:rPr>
        <w:t xml:space="preserve">  →  </w:t>
      </w:r>
      <w:r>
        <w:rPr>
          <w:rFonts w:ascii="Calibri" w:hAnsi="Calibri" w:eastAsia="Calibri"/>
          <w:b/>
          <w:color w:val="2E74B5"/>
          <w:sz w:val="21"/>
        </w:rPr>
        <w:t>Project Close-out</w:t>
      </w:r>
      <w:r>
        <w:rPr>
          <w:rFonts w:ascii="Calibri" w:hAnsi="Calibri" w:eastAsia="Calibri"/>
          <w:color w:val="5B6472"/>
          <w:sz w:val="21"/>
        </w:rPr>
        <w:t xml:space="preserve">  →  </w:t>
      </w:r>
      <w:r>
        <w:rPr>
          <w:rFonts w:ascii="Calibri" w:hAnsi="Calibri" w:eastAsia="Calibri"/>
          <w:color w:val="111827"/>
          <w:sz w:val="21"/>
        </w:rPr>
        <w:t>PCR, ABDP, PMRF, NOC, RNOC, final documents, and unresolved-obligation reconciliation.</w:t>
      </w:r>
    </w:p>
    <w:p>
      <w:pPr>
        <w:spacing w:after="160"/>
        <w:ind w:left="720" w:firstLine="0"/>
      </w:pPr>
      <w:r>
        <w:rPr>
          <w:rFonts w:ascii="Calibri" w:hAnsi="Calibri" w:eastAsia="Calibri"/>
          <w:b/>
          <w:color w:val="177A77"/>
          <w:sz w:val="20"/>
        </w:rPr>
        <w:t xml:space="preserve">Control: </w:t>
      </w:r>
      <w:r>
        <w:rPr>
          <w:rFonts w:ascii="Calibri" w:hAnsi="Calibri" w:eastAsia="Calibri"/>
          <w:color w:val="5B6472"/>
          <w:sz w:val="20"/>
        </w:rPr>
        <w:t>Closed state, complete warranty, no open obligations.</w:t>
      </w:r>
    </w:p>
    <w:p>
      <w:pPr>
        <w:pStyle w:val="Heading1"/>
      </w:pPr>
      <w:r>
        <w:rPr>
          <w:rFonts w:ascii="Calibri" w:hAnsi="Calibri" w:eastAsia="Calibri"/>
          <w:b w:val="0"/>
          <w:i w:val="0"/>
          <w:color w:val="111827"/>
        </w:rPr>
        <w:t>5. Controlled form coverage</w:t>
      </w:r>
    </w:p>
    <w:p>
      <w:pPr>
        <w:spacing w:after="160"/>
      </w:pPr>
      <w:r>
        <w:rPr>
          <w:rFonts w:ascii="Calibri" w:hAnsi="Calibri" w:eastAsia="Calibri"/>
          <w:b w:val="0"/>
          <w:i w:val="0"/>
          <w:color w:val="111827"/>
          <w:sz w:val="22"/>
        </w:rPr>
        <w:t>The source index describes 51 indexed records, while the included packet contains the supplemental SMO 2.13.1. The current system therefore exposes 52 controlled records and keeps the source discrepancy visible.</w:t>
      </w:r>
    </w:p>
    <w:p>
      <w:pPr>
        <w:pStyle w:val="Heading2"/>
      </w:pPr>
      <w:r>
        <w:rPr>
          <w:rFonts w:ascii="Calibri" w:hAnsi="Calibri" w:eastAsia="Calibri"/>
          <w:b/>
          <w:color w:val="2E74B5"/>
          <w:sz w:val="26"/>
        </w:rPr>
        <w:t>Corporate  /  2 records</w:t>
      </w:r>
    </w:p>
    <w:p>
      <w:pPr>
        <w:numPr>
          <w:ilvl w:val="0"/>
          <w:numId w:val="10"/>
        </w:numPr>
        <w:spacing w:after="60" w:line="264" w:lineRule="auto"/>
        <w:ind w:left="720" w:hanging="360"/>
      </w:pPr>
      <w:r>
        <w:rPr>
          <w:rFonts w:ascii="Calibri" w:hAnsi="Calibri" w:eastAsia="Calibri"/>
          <w:color w:val="111827"/>
          <w:sz w:val="20"/>
        </w:rPr>
        <w:t>1.1 — Corporate Presentation</w:t>
      </w:r>
    </w:p>
    <w:p>
      <w:pPr>
        <w:numPr>
          <w:ilvl w:val="0"/>
          <w:numId w:val="10"/>
        </w:numPr>
        <w:spacing w:after="60" w:line="264" w:lineRule="auto"/>
        <w:ind w:left="720" w:hanging="360"/>
      </w:pPr>
      <w:r>
        <w:rPr>
          <w:rFonts w:ascii="Calibri" w:hAnsi="Calibri" w:eastAsia="Calibri"/>
          <w:color w:val="111827"/>
          <w:sz w:val="20"/>
        </w:rPr>
        <w:t>1.2 — EOI / Expression of Interest</w:t>
      </w:r>
    </w:p>
    <w:p>
      <w:pPr>
        <w:pStyle w:val="Heading2"/>
      </w:pPr>
      <w:r>
        <w:rPr>
          <w:rFonts w:ascii="Calibri" w:hAnsi="Calibri" w:eastAsia="Calibri"/>
          <w:b/>
          <w:color w:val="2E74B5"/>
          <w:sz w:val="26"/>
        </w:rPr>
        <w:t>Pre-Construction  /  23 records</w:t>
      </w:r>
    </w:p>
    <w:p>
      <w:pPr>
        <w:numPr>
          <w:ilvl w:val="0"/>
          <w:numId w:val="10"/>
        </w:numPr>
        <w:spacing w:after="60" w:line="264" w:lineRule="auto"/>
        <w:ind w:left="720" w:hanging="360"/>
      </w:pPr>
      <w:r>
        <w:rPr>
          <w:rFonts w:ascii="Calibri" w:hAnsi="Calibri" w:eastAsia="Calibri"/>
          <w:color w:val="111827"/>
          <w:sz w:val="20"/>
        </w:rPr>
        <w:t>2.1 — CSA / Consultation Services Agreement</w:t>
      </w:r>
    </w:p>
    <w:p>
      <w:pPr>
        <w:numPr>
          <w:ilvl w:val="0"/>
          <w:numId w:val="10"/>
        </w:numPr>
        <w:spacing w:after="60" w:line="264" w:lineRule="auto"/>
        <w:ind w:left="720" w:hanging="360"/>
      </w:pPr>
      <w:r>
        <w:rPr>
          <w:rFonts w:ascii="Calibri" w:hAnsi="Calibri" w:eastAsia="Calibri"/>
          <w:color w:val="111827"/>
          <w:sz w:val="20"/>
        </w:rPr>
        <w:t>2.1.1 — Meeting #1</w:t>
      </w:r>
    </w:p>
    <w:p>
      <w:pPr>
        <w:numPr>
          <w:ilvl w:val="0"/>
          <w:numId w:val="10"/>
        </w:numPr>
        <w:spacing w:after="60" w:line="264" w:lineRule="auto"/>
        <w:ind w:left="720" w:hanging="360"/>
      </w:pPr>
      <w:r>
        <w:rPr>
          <w:rFonts w:ascii="Calibri" w:hAnsi="Calibri" w:eastAsia="Calibri"/>
          <w:color w:val="111827"/>
          <w:sz w:val="20"/>
        </w:rPr>
        <w:t>2.1.2 — Meeting #2</w:t>
      </w:r>
    </w:p>
    <w:p>
      <w:pPr>
        <w:numPr>
          <w:ilvl w:val="0"/>
          <w:numId w:val="10"/>
        </w:numPr>
        <w:spacing w:after="60" w:line="264" w:lineRule="auto"/>
        <w:ind w:left="720" w:hanging="360"/>
      </w:pPr>
      <w:r>
        <w:rPr>
          <w:rFonts w:ascii="Calibri" w:hAnsi="Calibri" w:eastAsia="Calibri"/>
          <w:color w:val="111827"/>
          <w:sz w:val="20"/>
        </w:rPr>
        <w:t>2.2 — NDA / Non-Disclosure Agreement</w:t>
      </w:r>
    </w:p>
    <w:p>
      <w:pPr>
        <w:numPr>
          <w:ilvl w:val="0"/>
          <w:numId w:val="10"/>
        </w:numPr>
        <w:spacing w:after="60" w:line="264" w:lineRule="auto"/>
        <w:ind w:left="720" w:hanging="360"/>
      </w:pPr>
      <w:r>
        <w:rPr>
          <w:rFonts w:ascii="Calibri" w:hAnsi="Calibri" w:eastAsia="Calibri"/>
          <w:color w:val="111827"/>
          <w:sz w:val="20"/>
        </w:rPr>
        <w:t>2.3 — LOI / Letter of Intent</w:t>
      </w:r>
    </w:p>
    <w:p>
      <w:pPr>
        <w:numPr>
          <w:ilvl w:val="0"/>
          <w:numId w:val="10"/>
        </w:numPr>
        <w:spacing w:after="60" w:line="264" w:lineRule="auto"/>
        <w:ind w:left="720" w:hanging="360"/>
      </w:pPr>
      <w:r>
        <w:rPr>
          <w:rFonts w:ascii="Calibri" w:hAnsi="Calibri" w:eastAsia="Calibri"/>
          <w:color w:val="111827"/>
          <w:sz w:val="20"/>
        </w:rPr>
        <w:t>2.4 — FS / Feasibility Study</w:t>
      </w:r>
    </w:p>
    <w:p>
      <w:pPr>
        <w:numPr>
          <w:ilvl w:val="0"/>
          <w:numId w:val="10"/>
        </w:numPr>
        <w:spacing w:after="60" w:line="264" w:lineRule="auto"/>
        <w:ind w:left="720" w:hanging="360"/>
      </w:pPr>
      <w:r>
        <w:rPr>
          <w:rFonts w:ascii="Calibri" w:hAnsi="Calibri" w:eastAsia="Calibri"/>
          <w:color w:val="111827"/>
          <w:sz w:val="20"/>
        </w:rPr>
        <w:t>2.5 — SA / Sales Agreement</w:t>
      </w:r>
    </w:p>
    <w:p>
      <w:pPr>
        <w:numPr>
          <w:ilvl w:val="0"/>
          <w:numId w:val="10"/>
        </w:numPr>
        <w:spacing w:after="60" w:line="264" w:lineRule="auto"/>
        <w:ind w:left="720" w:hanging="360"/>
      </w:pPr>
      <w:r>
        <w:rPr>
          <w:rFonts w:ascii="Calibri" w:hAnsi="Calibri" w:eastAsia="Calibri"/>
          <w:color w:val="111827"/>
          <w:sz w:val="20"/>
        </w:rPr>
        <w:t>2.6 — EDAT / Electronic Document Authorization &amp; Transfer</w:t>
      </w:r>
    </w:p>
    <w:p>
      <w:pPr>
        <w:numPr>
          <w:ilvl w:val="0"/>
          <w:numId w:val="10"/>
        </w:numPr>
        <w:spacing w:after="60" w:line="264" w:lineRule="auto"/>
        <w:ind w:left="720" w:hanging="360"/>
      </w:pPr>
      <w:r>
        <w:rPr>
          <w:rFonts w:ascii="Calibri" w:hAnsi="Calibri" w:eastAsia="Calibri"/>
          <w:color w:val="111827"/>
          <w:sz w:val="20"/>
        </w:rPr>
        <w:t>2.7 — PCS / Pre-Construction Services</w:t>
      </w:r>
    </w:p>
    <w:p>
      <w:pPr>
        <w:numPr>
          <w:ilvl w:val="0"/>
          <w:numId w:val="10"/>
        </w:numPr>
        <w:spacing w:after="60" w:line="264" w:lineRule="auto"/>
        <w:ind w:left="720" w:hanging="360"/>
      </w:pPr>
      <w:r>
        <w:rPr>
          <w:rFonts w:ascii="Calibri" w:hAnsi="Calibri" w:eastAsia="Calibri"/>
          <w:color w:val="111827"/>
          <w:sz w:val="20"/>
        </w:rPr>
        <w:t>2.8 — PDAF / Preliminary Design Approval Form</w:t>
      </w:r>
    </w:p>
    <w:p>
      <w:pPr>
        <w:numPr>
          <w:ilvl w:val="0"/>
          <w:numId w:val="10"/>
        </w:numPr>
        <w:spacing w:after="60" w:line="264" w:lineRule="auto"/>
        <w:ind w:left="720" w:hanging="360"/>
      </w:pPr>
      <w:r>
        <w:rPr>
          <w:rFonts w:ascii="Calibri" w:hAnsi="Calibri" w:eastAsia="Calibri"/>
          <w:color w:val="111827"/>
          <w:sz w:val="20"/>
        </w:rPr>
        <w:t>2.9 — SDR / Site Discovery Report</w:t>
      </w:r>
    </w:p>
    <w:p>
      <w:pPr>
        <w:numPr>
          <w:ilvl w:val="0"/>
          <w:numId w:val="10"/>
        </w:numPr>
        <w:spacing w:after="60" w:line="264" w:lineRule="auto"/>
        <w:ind w:left="720" w:hanging="360"/>
      </w:pPr>
      <w:r>
        <w:rPr>
          <w:rFonts w:ascii="Calibri" w:hAnsi="Calibri" w:eastAsia="Calibri"/>
          <w:color w:val="111827"/>
          <w:sz w:val="20"/>
        </w:rPr>
        <w:t>2.10 — CEC / Cost Estimate Classification: D, C, B, A</w:t>
      </w:r>
    </w:p>
    <w:p>
      <w:pPr>
        <w:numPr>
          <w:ilvl w:val="0"/>
          <w:numId w:val="10"/>
        </w:numPr>
        <w:spacing w:after="60" w:line="264" w:lineRule="auto"/>
        <w:ind w:left="720" w:hanging="360"/>
      </w:pPr>
      <w:r>
        <w:rPr>
          <w:rFonts w:ascii="Calibri" w:hAnsi="Calibri" w:eastAsia="Calibri"/>
          <w:color w:val="111827"/>
          <w:sz w:val="20"/>
        </w:rPr>
        <w:t>2.11 — RFI / Request for Information</w:t>
      </w:r>
    </w:p>
    <w:p>
      <w:pPr>
        <w:numPr>
          <w:ilvl w:val="0"/>
          <w:numId w:val="10"/>
        </w:numPr>
        <w:spacing w:after="60" w:line="264" w:lineRule="auto"/>
        <w:ind w:left="720" w:hanging="360"/>
      </w:pPr>
      <w:r>
        <w:rPr>
          <w:rFonts w:ascii="Calibri" w:hAnsi="Calibri" w:eastAsia="Calibri"/>
          <w:color w:val="111827"/>
          <w:sz w:val="20"/>
        </w:rPr>
        <w:t>2.12 — SER / Specification Exception Report</w:t>
      </w:r>
    </w:p>
    <w:p>
      <w:pPr>
        <w:numPr>
          <w:ilvl w:val="0"/>
          <w:numId w:val="10"/>
        </w:numPr>
        <w:spacing w:after="60" w:line="264" w:lineRule="auto"/>
        <w:ind w:left="720" w:hanging="360"/>
      </w:pPr>
      <w:r>
        <w:rPr>
          <w:rFonts w:ascii="Calibri" w:hAnsi="Calibri" w:eastAsia="Calibri"/>
          <w:color w:val="111827"/>
          <w:sz w:val="20"/>
        </w:rPr>
        <w:t>2.13 — SOW / Scope of Work</w:t>
      </w:r>
    </w:p>
    <w:p>
      <w:pPr>
        <w:numPr>
          <w:ilvl w:val="0"/>
          <w:numId w:val="10"/>
        </w:numPr>
        <w:spacing w:after="60" w:line="264" w:lineRule="auto"/>
        <w:ind w:left="720" w:hanging="360"/>
      </w:pPr>
      <w:r>
        <w:rPr>
          <w:rFonts w:ascii="Calibri" w:hAnsi="Calibri" w:eastAsia="Calibri"/>
          <w:color w:val="111827"/>
          <w:sz w:val="20"/>
        </w:rPr>
        <w:t>2.13.1 — SMO / Scope &amp; Modular Responsibility Overview</w:t>
      </w:r>
    </w:p>
    <w:p>
      <w:pPr>
        <w:numPr>
          <w:ilvl w:val="0"/>
          <w:numId w:val="10"/>
        </w:numPr>
        <w:spacing w:after="60" w:line="264" w:lineRule="auto"/>
        <w:ind w:left="720" w:hanging="360"/>
      </w:pPr>
      <w:r>
        <w:rPr>
          <w:rFonts w:ascii="Calibri" w:hAnsi="Calibri" w:eastAsia="Calibri"/>
          <w:color w:val="111827"/>
          <w:sz w:val="20"/>
        </w:rPr>
        <w:t>2.14 — RM / Responsibility Matrix</w:t>
      </w:r>
    </w:p>
    <w:p>
      <w:pPr>
        <w:numPr>
          <w:ilvl w:val="0"/>
          <w:numId w:val="10"/>
        </w:numPr>
        <w:spacing w:after="60" w:line="264" w:lineRule="auto"/>
        <w:ind w:left="720" w:hanging="360"/>
      </w:pPr>
      <w:r>
        <w:rPr>
          <w:rFonts w:ascii="Calibri" w:hAnsi="Calibri" w:eastAsia="Calibri"/>
          <w:color w:val="111827"/>
          <w:sz w:val="20"/>
        </w:rPr>
        <w:t>2.15 — PSO / Product Signoff Form</w:t>
      </w:r>
    </w:p>
    <w:p>
      <w:pPr>
        <w:numPr>
          <w:ilvl w:val="0"/>
          <w:numId w:val="10"/>
        </w:numPr>
        <w:spacing w:after="60" w:line="264" w:lineRule="auto"/>
        <w:ind w:left="720" w:hanging="360"/>
      </w:pPr>
      <w:r>
        <w:rPr>
          <w:rFonts w:ascii="Calibri" w:hAnsi="Calibri" w:eastAsia="Calibri"/>
          <w:color w:val="111827"/>
          <w:sz w:val="20"/>
        </w:rPr>
        <w:t>2.16 — PS / Project Summary</w:t>
      </w:r>
    </w:p>
    <w:p>
      <w:pPr>
        <w:numPr>
          <w:ilvl w:val="0"/>
          <w:numId w:val="10"/>
        </w:numPr>
        <w:spacing w:after="60" w:line="264" w:lineRule="auto"/>
        <w:ind w:left="720" w:hanging="360"/>
      </w:pPr>
      <w:r>
        <w:rPr>
          <w:rFonts w:ascii="Calibri" w:hAnsi="Calibri" w:eastAsia="Calibri"/>
          <w:color w:val="111827"/>
          <w:sz w:val="20"/>
        </w:rPr>
        <w:t>2.17 — CD / Change Directive</w:t>
      </w:r>
    </w:p>
    <w:p>
      <w:pPr>
        <w:numPr>
          <w:ilvl w:val="0"/>
          <w:numId w:val="10"/>
        </w:numPr>
        <w:spacing w:after="60" w:line="264" w:lineRule="auto"/>
        <w:ind w:left="720" w:hanging="360"/>
      </w:pPr>
      <w:r>
        <w:rPr>
          <w:rFonts w:ascii="Calibri" w:hAnsi="Calibri" w:eastAsia="Calibri"/>
          <w:color w:val="111827"/>
          <w:sz w:val="20"/>
        </w:rPr>
        <w:t>2.18 — CO / Change Order</w:t>
      </w:r>
    </w:p>
    <w:p>
      <w:pPr>
        <w:numPr>
          <w:ilvl w:val="0"/>
          <w:numId w:val="10"/>
        </w:numPr>
        <w:spacing w:after="60" w:line="264" w:lineRule="auto"/>
        <w:ind w:left="720" w:hanging="360"/>
      </w:pPr>
      <w:r>
        <w:rPr>
          <w:rFonts w:ascii="Calibri" w:hAnsi="Calibri" w:eastAsia="Calibri"/>
          <w:color w:val="111827"/>
          <w:sz w:val="20"/>
        </w:rPr>
        <w:t>2.18.1 — CT / CD and CO Tracker</w:t>
      </w:r>
    </w:p>
    <w:p>
      <w:pPr>
        <w:numPr>
          <w:ilvl w:val="0"/>
          <w:numId w:val="10"/>
        </w:numPr>
        <w:spacing w:after="60" w:line="264" w:lineRule="auto"/>
        <w:ind w:left="720" w:hanging="360"/>
      </w:pPr>
      <w:r>
        <w:rPr>
          <w:rFonts w:ascii="Calibri" w:hAnsi="Calibri" w:eastAsia="Calibri"/>
          <w:color w:val="111827"/>
          <w:sz w:val="20"/>
        </w:rPr>
        <w:t>2.19 — ODN / Occupancy Delay Notification</w:t>
      </w:r>
    </w:p>
    <w:p>
      <w:pPr>
        <w:pStyle w:val="Heading2"/>
      </w:pPr>
      <w:r>
        <w:rPr>
          <w:rFonts w:ascii="Calibri" w:hAnsi="Calibri" w:eastAsia="Calibri"/>
          <w:b/>
          <w:color w:val="2E74B5"/>
          <w:sz w:val="26"/>
        </w:rPr>
        <w:t>Factory  /  5 records</w:t>
      </w:r>
    </w:p>
    <w:p>
      <w:pPr>
        <w:numPr>
          <w:ilvl w:val="0"/>
          <w:numId w:val="10"/>
        </w:numPr>
        <w:spacing w:after="60" w:line="264" w:lineRule="auto"/>
        <w:ind w:left="720" w:hanging="360"/>
      </w:pPr>
      <w:r>
        <w:rPr>
          <w:rFonts w:ascii="Calibri" w:hAnsi="Calibri" w:eastAsia="Calibri"/>
          <w:color w:val="111827"/>
          <w:sz w:val="20"/>
        </w:rPr>
        <w:t>3.1 — MPS / Module Production Schedule</w:t>
      </w:r>
    </w:p>
    <w:p>
      <w:pPr>
        <w:numPr>
          <w:ilvl w:val="0"/>
          <w:numId w:val="10"/>
        </w:numPr>
        <w:spacing w:after="60" w:line="264" w:lineRule="auto"/>
        <w:ind w:left="720" w:hanging="360"/>
      </w:pPr>
      <w:r>
        <w:rPr>
          <w:rFonts w:ascii="Calibri" w:hAnsi="Calibri" w:eastAsia="Calibri"/>
          <w:color w:val="111827"/>
          <w:sz w:val="20"/>
        </w:rPr>
        <w:t>3.2 — MQC / Module Quality Control</w:t>
      </w:r>
    </w:p>
    <w:p>
      <w:pPr>
        <w:numPr>
          <w:ilvl w:val="0"/>
          <w:numId w:val="10"/>
        </w:numPr>
        <w:spacing w:after="60" w:line="264" w:lineRule="auto"/>
        <w:ind w:left="720" w:hanging="360"/>
      </w:pPr>
      <w:r>
        <w:rPr>
          <w:rFonts w:ascii="Calibri" w:hAnsi="Calibri" w:eastAsia="Calibri"/>
          <w:color w:val="111827"/>
          <w:sz w:val="20"/>
        </w:rPr>
        <w:t>3.3 — MIR / Module Inspection Report</w:t>
      </w:r>
    </w:p>
    <w:p>
      <w:pPr>
        <w:numPr>
          <w:ilvl w:val="0"/>
          <w:numId w:val="10"/>
        </w:numPr>
        <w:spacing w:after="60" w:line="264" w:lineRule="auto"/>
        <w:ind w:left="720" w:hanging="360"/>
      </w:pPr>
      <w:r>
        <w:rPr>
          <w:rFonts w:ascii="Calibri" w:hAnsi="Calibri" w:eastAsia="Calibri"/>
          <w:color w:val="111827"/>
          <w:sz w:val="20"/>
        </w:rPr>
        <w:t>3.4 — TRR / Transport Readiness Report</w:t>
      </w:r>
    </w:p>
    <w:p>
      <w:pPr>
        <w:numPr>
          <w:ilvl w:val="0"/>
          <w:numId w:val="10"/>
        </w:numPr>
        <w:spacing w:after="60" w:line="264" w:lineRule="auto"/>
        <w:ind w:left="720" w:hanging="360"/>
      </w:pPr>
      <w:r>
        <w:rPr>
          <w:rFonts w:ascii="Calibri" w:hAnsi="Calibri" w:eastAsia="Calibri"/>
          <w:color w:val="111827"/>
          <w:sz w:val="20"/>
        </w:rPr>
        <w:t>3.5 — MSO / Module Sign-Off</w:t>
      </w:r>
    </w:p>
    <w:p>
      <w:pPr>
        <w:pStyle w:val="Heading2"/>
      </w:pPr>
      <w:r>
        <w:rPr>
          <w:rFonts w:ascii="Calibri" w:hAnsi="Calibri" w:eastAsia="Calibri"/>
          <w:b/>
          <w:color w:val="2E74B5"/>
          <w:sz w:val="26"/>
        </w:rPr>
        <w:t>On-Site  /  11 records</w:t>
      </w:r>
    </w:p>
    <w:p>
      <w:pPr>
        <w:numPr>
          <w:ilvl w:val="0"/>
          <w:numId w:val="10"/>
        </w:numPr>
        <w:spacing w:after="60" w:line="264" w:lineRule="auto"/>
        <w:ind w:left="720" w:hanging="360"/>
      </w:pPr>
      <w:r>
        <w:rPr>
          <w:rFonts w:ascii="Calibri" w:hAnsi="Calibri" w:eastAsia="Calibri"/>
          <w:color w:val="111827"/>
          <w:sz w:val="20"/>
        </w:rPr>
        <w:t>4.1 — SSP / Site Safety Plan</w:t>
      </w:r>
    </w:p>
    <w:p>
      <w:pPr>
        <w:numPr>
          <w:ilvl w:val="0"/>
          <w:numId w:val="10"/>
        </w:numPr>
        <w:spacing w:after="60" w:line="264" w:lineRule="auto"/>
        <w:ind w:left="720" w:hanging="360"/>
      </w:pPr>
      <w:r>
        <w:rPr>
          <w:rFonts w:ascii="Calibri" w:hAnsi="Calibri" w:eastAsia="Calibri"/>
          <w:color w:val="111827"/>
          <w:sz w:val="20"/>
        </w:rPr>
        <w:t>4.2 — MDR / Module Delivery and Receipt Form</w:t>
      </w:r>
    </w:p>
    <w:p>
      <w:pPr>
        <w:numPr>
          <w:ilvl w:val="0"/>
          <w:numId w:val="10"/>
        </w:numPr>
        <w:spacing w:after="60" w:line="264" w:lineRule="auto"/>
        <w:ind w:left="720" w:hanging="360"/>
      </w:pPr>
      <w:r>
        <w:rPr>
          <w:rFonts w:ascii="Calibri" w:hAnsi="Calibri" w:eastAsia="Calibri"/>
          <w:color w:val="111827"/>
          <w:sz w:val="20"/>
        </w:rPr>
        <w:t>4.3 — MAI / Module Assembly Instruction</w:t>
      </w:r>
    </w:p>
    <w:p>
      <w:pPr>
        <w:numPr>
          <w:ilvl w:val="0"/>
          <w:numId w:val="10"/>
        </w:numPr>
        <w:spacing w:after="60" w:line="264" w:lineRule="auto"/>
        <w:ind w:left="720" w:hanging="360"/>
      </w:pPr>
      <w:r>
        <w:rPr>
          <w:rFonts w:ascii="Calibri" w:hAnsi="Calibri" w:eastAsia="Calibri"/>
          <w:color w:val="111827"/>
          <w:sz w:val="20"/>
        </w:rPr>
        <w:t>4.4 — MIC / Module Installation Checklist</w:t>
      </w:r>
    </w:p>
    <w:p>
      <w:pPr>
        <w:numPr>
          <w:ilvl w:val="0"/>
          <w:numId w:val="10"/>
        </w:numPr>
        <w:spacing w:after="60" w:line="264" w:lineRule="auto"/>
        <w:ind w:left="720" w:hanging="360"/>
      </w:pPr>
      <w:r>
        <w:rPr>
          <w:rFonts w:ascii="Calibri" w:hAnsi="Calibri" w:eastAsia="Calibri"/>
          <w:color w:val="111827"/>
          <w:sz w:val="20"/>
        </w:rPr>
        <w:t>4.5 — MSI / Module Site Inspection Report</w:t>
      </w:r>
    </w:p>
    <w:p>
      <w:pPr>
        <w:numPr>
          <w:ilvl w:val="0"/>
          <w:numId w:val="10"/>
        </w:numPr>
        <w:spacing w:after="60" w:line="264" w:lineRule="auto"/>
        <w:ind w:left="720" w:hanging="360"/>
      </w:pPr>
      <w:r>
        <w:rPr>
          <w:rFonts w:ascii="Calibri" w:hAnsi="Calibri" w:eastAsia="Calibri"/>
          <w:color w:val="111827"/>
          <w:sz w:val="20"/>
        </w:rPr>
        <w:t>4.6 — MALR / Module Alignment &amp; Leveling Report</w:t>
      </w:r>
    </w:p>
    <w:p>
      <w:pPr>
        <w:numPr>
          <w:ilvl w:val="0"/>
          <w:numId w:val="10"/>
        </w:numPr>
        <w:spacing w:after="60" w:line="264" w:lineRule="auto"/>
        <w:ind w:left="720" w:hanging="360"/>
      </w:pPr>
      <w:r>
        <w:rPr>
          <w:rFonts w:ascii="Calibri" w:hAnsi="Calibri" w:eastAsia="Calibri"/>
          <w:color w:val="111827"/>
          <w:sz w:val="20"/>
        </w:rPr>
        <w:t>4.7 — WSVR / Weatherproofing &amp; Seal Verification Report</w:t>
      </w:r>
    </w:p>
    <w:p>
      <w:pPr>
        <w:numPr>
          <w:ilvl w:val="0"/>
          <w:numId w:val="10"/>
        </w:numPr>
        <w:spacing w:after="60" w:line="264" w:lineRule="auto"/>
        <w:ind w:left="720" w:hanging="360"/>
      </w:pPr>
      <w:r>
        <w:rPr>
          <w:rFonts w:ascii="Calibri" w:hAnsi="Calibri" w:eastAsia="Calibri"/>
          <w:color w:val="111827"/>
          <w:sz w:val="20"/>
        </w:rPr>
        <w:t>4.8 — UCV / Utility Connection Verification</w:t>
      </w:r>
    </w:p>
    <w:p>
      <w:pPr>
        <w:numPr>
          <w:ilvl w:val="0"/>
          <w:numId w:val="10"/>
        </w:numPr>
        <w:spacing w:after="60" w:line="264" w:lineRule="auto"/>
        <w:ind w:left="720" w:hanging="360"/>
      </w:pPr>
      <w:r>
        <w:rPr>
          <w:rFonts w:ascii="Calibri" w:hAnsi="Calibri" w:eastAsia="Calibri"/>
          <w:color w:val="111827"/>
          <w:sz w:val="20"/>
        </w:rPr>
        <w:t>4.9 — MDAR / Module Damage Assessment Report</w:t>
      </w:r>
    </w:p>
    <w:p>
      <w:pPr>
        <w:numPr>
          <w:ilvl w:val="0"/>
          <w:numId w:val="10"/>
        </w:numPr>
        <w:spacing w:after="60" w:line="264" w:lineRule="auto"/>
        <w:ind w:left="720" w:hanging="360"/>
      </w:pPr>
      <w:r>
        <w:rPr>
          <w:rFonts w:ascii="Calibri" w:hAnsi="Calibri" w:eastAsia="Calibri"/>
          <w:color w:val="111827"/>
          <w:sz w:val="20"/>
        </w:rPr>
        <w:t>4.10 — IRF / Incident Report Form</w:t>
      </w:r>
    </w:p>
    <w:p>
      <w:pPr>
        <w:numPr>
          <w:ilvl w:val="0"/>
          <w:numId w:val="10"/>
        </w:numPr>
        <w:spacing w:after="60" w:line="264" w:lineRule="auto"/>
        <w:ind w:left="720" w:hanging="360"/>
      </w:pPr>
      <w:r>
        <w:rPr>
          <w:rFonts w:ascii="Calibri" w:hAnsi="Calibri" w:eastAsia="Calibri"/>
          <w:color w:val="111827"/>
          <w:sz w:val="20"/>
        </w:rPr>
        <w:t>4.10.1 — IRL / Incident Response Log</w:t>
      </w:r>
    </w:p>
    <w:p>
      <w:pPr>
        <w:pStyle w:val="Heading2"/>
      </w:pPr>
      <w:r>
        <w:rPr>
          <w:rFonts w:ascii="Calibri" w:hAnsi="Calibri" w:eastAsia="Calibri"/>
          <w:b/>
          <w:color w:val="2E74B5"/>
          <w:sz w:val="26"/>
        </w:rPr>
        <w:t>Post-Construction  /  11 records</w:t>
      </w:r>
    </w:p>
    <w:p>
      <w:pPr>
        <w:numPr>
          <w:ilvl w:val="0"/>
          <w:numId w:val="10"/>
        </w:numPr>
        <w:spacing w:after="60" w:line="264" w:lineRule="auto"/>
        <w:ind w:left="720" w:hanging="360"/>
      </w:pPr>
      <w:r>
        <w:rPr>
          <w:rFonts w:ascii="Calibri" w:hAnsi="Calibri" w:eastAsia="Calibri"/>
          <w:color w:val="111827"/>
          <w:sz w:val="20"/>
        </w:rPr>
        <w:t>5.1 — DDSS / Delegated Design Service Statement</w:t>
      </w:r>
    </w:p>
    <w:p>
      <w:pPr>
        <w:numPr>
          <w:ilvl w:val="0"/>
          <w:numId w:val="10"/>
        </w:numPr>
        <w:spacing w:after="60" w:line="264" w:lineRule="auto"/>
        <w:ind w:left="720" w:hanging="360"/>
      </w:pPr>
      <w:r>
        <w:rPr>
          <w:rFonts w:ascii="Calibri" w:hAnsi="Calibri" w:eastAsia="Calibri"/>
          <w:color w:val="111827"/>
          <w:sz w:val="20"/>
        </w:rPr>
        <w:t>5.2 — MISS / Module Installation Support Service</w:t>
      </w:r>
    </w:p>
    <w:p>
      <w:pPr>
        <w:numPr>
          <w:ilvl w:val="0"/>
          <w:numId w:val="10"/>
        </w:numPr>
        <w:spacing w:after="60" w:line="264" w:lineRule="auto"/>
        <w:ind w:left="720" w:hanging="360"/>
      </w:pPr>
      <w:r>
        <w:rPr>
          <w:rFonts w:ascii="Calibri" w:hAnsi="Calibri" w:eastAsia="Calibri"/>
          <w:color w:val="111827"/>
          <w:sz w:val="20"/>
        </w:rPr>
        <w:t>5.3 — DPLR / Deficiency &amp; Punch List Report</w:t>
      </w:r>
    </w:p>
    <w:p>
      <w:pPr>
        <w:numPr>
          <w:ilvl w:val="0"/>
          <w:numId w:val="10"/>
        </w:numPr>
        <w:spacing w:after="60" w:line="264" w:lineRule="auto"/>
        <w:ind w:left="720" w:hanging="360"/>
      </w:pPr>
      <w:r>
        <w:rPr>
          <w:rFonts w:ascii="Calibri" w:hAnsi="Calibri" w:eastAsia="Calibri"/>
          <w:color w:val="111827"/>
          <w:sz w:val="20"/>
        </w:rPr>
        <w:t>5.4 — FIR / Final Inspection Report</w:t>
      </w:r>
    </w:p>
    <w:p>
      <w:pPr>
        <w:numPr>
          <w:ilvl w:val="0"/>
          <w:numId w:val="10"/>
        </w:numPr>
        <w:spacing w:after="60" w:line="264" w:lineRule="auto"/>
        <w:ind w:left="720" w:hanging="360"/>
      </w:pPr>
      <w:r>
        <w:rPr>
          <w:rFonts w:ascii="Calibri" w:hAnsi="Calibri" w:eastAsia="Calibri"/>
          <w:color w:val="111827"/>
          <w:sz w:val="20"/>
        </w:rPr>
        <w:t>5.5 — WMA / Warranty &amp; Maintenance Agreement</w:t>
      </w:r>
    </w:p>
    <w:p>
      <w:pPr>
        <w:numPr>
          <w:ilvl w:val="0"/>
          <w:numId w:val="10"/>
        </w:numPr>
        <w:spacing w:after="60" w:line="264" w:lineRule="auto"/>
        <w:ind w:left="720" w:hanging="360"/>
      </w:pPr>
      <w:r>
        <w:rPr>
          <w:rFonts w:ascii="Calibri" w:hAnsi="Calibri" w:eastAsia="Calibri"/>
          <w:color w:val="111827"/>
          <w:sz w:val="20"/>
        </w:rPr>
        <w:t>5.6 — PCR / Project Closeout Report</w:t>
      </w:r>
    </w:p>
    <w:p>
      <w:pPr>
        <w:numPr>
          <w:ilvl w:val="0"/>
          <w:numId w:val="10"/>
        </w:numPr>
        <w:spacing w:after="60" w:line="264" w:lineRule="auto"/>
        <w:ind w:left="720" w:hanging="360"/>
      </w:pPr>
      <w:r>
        <w:rPr>
          <w:rFonts w:ascii="Calibri" w:hAnsi="Calibri" w:eastAsia="Calibri"/>
          <w:color w:val="111827"/>
          <w:sz w:val="20"/>
        </w:rPr>
        <w:t>5.7 — ABDP / As-Built Documentation Package</w:t>
      </w:r>
    </w:p>
    <w:p>
      <w:pPr>
        <w:numPr>
          <w:ilvl w:val="0"/>
          <w:numId w:val="10"/>
        </w:numPr>
        <w:spacing w:after="60" w:line="264" w:lineRule="auto"/>
        <w:ind w:left="720" w:hanging="360"/>
      </w:pPr>
      <w:r>
        <w:rPr>
          <w:rFonts w:ascii="Calibri" w:hAnsi="Calibri" w:eastAsia="Calibri"/>
          <w:color w:val="111827"/>
          <w:sz w:val="20"/>
        </w:rPr>
        <w:t>5.8 — CSHF / Client Satisfaction &amp; Handover Form</w:t>
      </w:r>
    </w:p>
    <w:p>
      <w:pPr>
        <w:numPr>
          <w:ilvl w:val="0"/>
          <w:numId w:val="10"/>
        </w:numPr>
        <w:spacing w:after="60" w:line="264" w:lineRule="auto"/>
        <w:ind w:left="720" w:hanging="360"/>
      </w:pPr>
      <w:r>
        <w:rPr>
          <w:rFonts w:ascii="Calibri" w:hAnsi="Calibri" w:eastAsia="Calibri"/>
          <w:color w:val="111827"/>
          <w:sz w:val="20"/>
        </w:rPr>
        <w:t>5.9 — PMRF / Photography &amp; Media Release Form</w:t>
      </w:r>
    </w:p>
    <w:p>
      <w:pPr>
        <w:numPr>
          <w:ilvl w:val="0"/>
          <w:numId w:val="10"/>
        </w:numPr>
        <w:spacing w:after="60" w:line="264" w:lineRule="auto"/>
        <w:ind w:left="720" w:hanging="360"/>
      </w:pPr>
      <w:r>
        <w:rPr>
          <w:rFonts w:ascii="Calibri" w:hAnsi="Calibri" w:eastAsia="Calibri"/>
          <w:color w:val="111827"/>
          <w:sz w:val="20"/>
        </w:rPr>
        <w:t>5.10 — NOC / Notice of Concern</w:t>
      </w:r>
    </w:p>
    <w:p>
      <w:pPr>
        <w:numPr>
          <w:ilvl w:val="0"/>
          <w:numId w:val="10"/>
        </w:numPr>
        <w:spacing w:after="60" w:line="264" w:lineRule="auto"/>
        <w:ind w:left="720" w:hanging="360"/>
      </w:pPr>
      <w:r>
        <w:rPr>
          <w:rFonts w:ascii="Calibri" w:hAnsi="Calibri" w:eastAsia="Calibri"/>
          <w:color w:val="111827"/>
          <w:sz w:val="20"/>
        </w:rPr>
        <w:t>5.11 — RNOC / Response to Notice of Concern</w:t>
      </w:r>
    </w:p>
    <w:p>
      <w:pPr>
        <w:pStyle w:val="Heading1"/>
      </w:pPr>
      <w:r>
        <w:rPr>
          <w:rFonts w:ascii="Calibri" w:hAnsi="Calibri" w:eastAsia="Calibri"/>
          <w:b w:val="0"/>
          <w:i w:val="0"/>
          <w:color w:val="111827"/>
        </w:rPr>
        <w:t>6. Source-package QA and implementation boundaries</w:t>
      </w:r>
    </w:p>
    <w:p>
      <w:pPr>
        <w:numPr>
          <w:ilvl w:val="0"/>
          <w:numId w:val="10"/>
        </w:numPr>
        <w:spacing w:after="100" w:line="264" w:lineRule="auto"/>
        <w:ind w:left="720" w:hanging="360"/>
      </w:pPr>
      <w:r>
        <w:rPr>
          <w:rFonts w:ascii="Calibri" w:hAnsi="Calibri" w:eastAsia="Calibri"/>
          <w:color w:val="111827"/>
          <w:sz w:val="21"/>
        </w:rPr>
        <w:t>The register contains 52 records because SMO 2.13.1 is a real supplemental form in the package, although the nine-page index omits it.</w:t>
      </w:r>
    </w:p>
    <w:p>
      <w:pPr>
        <w:numPr>
          <w:ilvl w:val="0"/>
          <w:numId w:val="10"/>
        </w:numPr>
        <w:spacing w:after="100" w:line="264" w:lineRule="auto"/>
        <w:ind w:left="720" w:hanging="360"/>
      </w:pPr>
      <w:r>
        <w:rPr>
          <w:rFonts w:ascii="Calibri" w:hAnsi="Calibri" w:eastAsia="Calibri"/>
          <w:color w:val="111827"/>
          <w:sz w:val="21"/>
        </w:rPr>
        <w:t>Combined Forms.pdf pages 179–193 contain embedded XLSX/DOCX binary content and are not usable controlled forms.</w:t>
      </w:r>
    </w:p>
    <w:p>
      <w:pPr>
        <w:numPr>
          <w:ilvl w:val="0"/>
          <w:numId w:val="10"/>
        </w:numPr>
        <w:spacing w:after="100" w:line="264" w:lineRule="auto"/>
        <w:ind w:left="720" w:hanging="360"/>
      </w:pPr>
      <w:r>
        <w:rPr>
          <w:rFonts w:ascii="Calibri" w:hAnsi="Calibri" w:eastAsia="Calibri"/>
          <w:color w:val="111827"/>
          <w:sz w:val="21"/>
        </w:rPr>
        <w:t>The index uses DC for 2.17 while the included form uses CD; the system preserves CD and exposes the discrepancy.</w:t>
      </w:r>
    </w:p>
    <w:p>
      <w:pPr>
        <w:numPr>
          <w:ilvl w:val="0"/>
          <w:numId w:val="10"/>
        </w:numPr>
        <w:spacing w:after="100" w:line="264" w:lineRule="auto"/>
        <w:ind w:left="720" w:hanging="360"/>
      </w:pPr>
      <w:r>
        <w:rPr>
          <w:rFonts w:ascii="Calibri" w:hAnsi="Calibri" w:eastAsia="Calibri"/>
          <w:color w:val="111827"/>
          <w:sz w:val="21"/>
        </w:rPr>
        <w:t>Included SOW, PSO, and WMA headers do not match their controlled index numbers; the index remains the lifecycle identifier in the system.</w:t>
      </w:r>
    </w:p>
    <w:p>
      <w:pPr>
        <w:numPr>
          <w:ilvl w:val="0"/>
          <w:numId w:val="10"/>
        </w:numPr>
        <w:spacing w:after="100" w:line="264" w:lineRule="auto"/>
        <w:ind w:left="720" w:hanging="360"/>
      </w:pPr>
      <w:r>
        <w:rPr>
          <w:rFonts w:ascii="Calibri" w:hAnsi="Calibri" w:eastAsia="Calibri"/>
          <w:color w:val="111827"/>
          <w:sz w:val="21"/>
        </w:rPr>
        <w:t>The form package is a source inventory and evidence base; final legal, bilingual, revision, and jurisdictional approval remains a business governance step.</w:t>
      </w:r>
    </w:p>
    <w:tbl>
      <w:tblPr>
        <w:tblW w:type="dxa" w:w="9360"/>
        <w:jc w:val="left"/>
        <w:tblLayout w:type="fixed"/>
        <w:tblLook w:firstColumn="1" w:firstRow="1" w:lastColumn="0" w:lastRow="0" w:noHBand="0" w:noVBand="1" w:val="04A0"/>
        <w:tblInd w:w="120" w:type="dxa"/>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rPr>
          <w:tblHeader w:val="true"/>
        </w:trPr>
        <w:tc>
          <w:tcPr>
            <w:tcW w:type="dxa" w:w="9360"/>
            <w:tcMar>
              <w:top w:w="80" w:type="dxa"/>
              <w:start w:w="120" w:type="dxa"/>
              <w:bottom w:w="80" w:type="dxa"/>
              <w:end w:w="120" w:type="dxa"/>
            </w:tcMar>
            <w:vAlign w:val="center"/>
            <w:shd w:fill="FFF8E6" w:val="clear"/>
          </w:tcPr>
          <w:p>
            <w:pPr>
              <w:spacing w:after="60"/>
            </w:pPr>
            <w:r>
              <w:rPr>
                <w:rFonts w:ascii="Calibri" w:hAnsi="Calibri" w:eastAsia="Calibri"/>
                <w:b/>
                <w:color w:val="0B2545"/>
                <w:sz w:val="21"/>
              </w:rPr>
              <w:t>Important interpretation</w:t>
            </w:r>
          </w:p>
          <w:p>
            <w:pPr>
              <w:spacing w:after="0" w:line="252" w:lineRule="auto"/>
            </w:pPr>
            <w:r>
              <w:rPr>
                <w:rFonts w:ascii="Calibri" w:hAnsi="Calibri" w:eastAsia="Calibri"/>
                <w:color w:val="111827"/>
                <w:sz w:val="20"/>
              </w:rPr>
              <w:t>A form being present in the L3 register means that the system can track its applicability, fields, evidence, approvals, and status. It does not mean that every source form is already legally approved, translated, revised, or ready for every project path.</w:t>
            </w:r>
          </w:p>
        </w:tc>
      </w:tr>
    </w:tbl>
    <w:p>
      <w:pPr>
        <w:spacing w:after="40"/>
      </w:pPr>
    </w:p>
    <w:p>
      <w:pPr>
        <w:pStyle w:val="Heading1"/>
      </w:pPr>
      <w:r>
        <w:rPr>
          <w:rFonts w:ascii="Calibri" w:hAnsi="Calibri" w:eastAsia="Calibri"/>
          <w:b w:val="0"/>
          <w:i w:val="0"/>
          <w:color w:val="111827"/>
        </w:rPr>
        <w:t>7. Verification evidence</w:t>
      </w:r>
    </w:p>
    <w:p>
      <w:pPr>
        <w:numPr>
          <w:ilvl w:val="0"/>
          <w:numId w:val="10"/>
        </w:numPr>
        <w:spacing w:after="100" w:line="264" w:lineRule="auto"/>
        <w:ind w:left="720" w:hanging="360"/>
      </w:pPr>
      <w:r>
        <w:rPr>
          <w:rFonts w:ascii="Calibri" w:hAnsi="Calibri" w:eastAsia="Calibri"/>
          <w:color w:val="111827"/>
          <w:sz w:val="21"/>
        </w:rPr>
        <w:t>Automated application tests: 120 passed in the prior implementation verification.</w:t>
      </w:r>
    </w:p>
    <w:p>
      <w:pPr>
        <w:numPr>
          <w:ilvl w:val="0"/>
          <w:numId w:val="10"/>
        </w:numPr>
        <w:spacing w:after="100" w:line="264" w:lineRule="auto"/>
        <w:ind w:left="720" w:hanging="360"/>
      </w:pPr>
      <w:r>
        <w:rPr>
          <w:rFonts w:ascii="Calibri" w:hAnsi="Calibri" w:eastAsia="Calibri"/>
          <w:color w:val="111827"/>
          <w:sz w:val="21"/>
        </w:rPr>
        <w:t>Production build: passed.</w:t>
      </w:r>
    </w:p>
    <w:p>
      <w:pPr>
        <w:numPr>
          <w:ilvl w:val="0"/>
          <w:numId w:val="10"/>
        </w:numPr>
        <w:spacing w:after="100" w:line="264" w:lineRule="auto"/>
        <w:ind w:left="720" w:hanging="360"/>
      </w:pPr>
      <w:r>
        <w:rPr>
          <w:rFonts w:ascii="Calibri" w:hAnsi="Calibri" w:eastAsia="Calibri"/>
          <w:color w:val="111827"/>
          <w:sz w:val="21"/>
        </w:rPr>
        <w:t>TypeScript check: passed.</w:t>
      </w:r>
    </w:p>
    <w:p>
      <w:pPr>
        <w:numPr>
          <w:ilvl w:val="0"/>
          <w:numId w:val="10"/>
        </w:numPr>
        <w:spacing w:after="100" w:line="264" w:lineRule="auto"/>
        <w:ind w:left="720" w:hanging="360"/>
      </w:pPr>
      <w:r>
        <w:rPr>
          <w:rFonts w:ascii="Calibri" w:hAnsi="Calibri" w:eastAsia="Calibri"/>
          <w:color w:val="111827"/>
          <w:sz w:val="21"/>
        </w:rPr>
        <w:t>Active-source lint: passed after excluding duplicate backup copies that are not part of the active application source.</w:t>
      </w:r>
    </w:p>
    <w:p>
      <w:pPr>
        <w:numPr>
          <w:ilvl w:val="0"/>
          <w:numId w:val="10"/>
        </w:numPr>
        <w:spacing w:after="100" w:line="264" w:lineRule="auto"/>
        <w:ind w:left="720" w:hanging="360"/>
      </w:pPr>
      <w:r>
        <w:rPr>
          <w:rFonts w:ascii="Calibri" w:hAnsi="Calibri" w:eastAsia="Calibri"/>
          <w:color w:val="111827"/>
          <w:sz w:val="21"/>
        </w:rPr>
        <w:t>Production deployment: Cloudflare Pages project project-workflow-builder, deployment 6706e30a, at https://project-workflow-builder.pages.dev/.</w:t>
      </w:r>
    </w:p>
    <w:p>
      <w:pPr>
        <w:numPr>
          <w:ilvl w:val="0"/>
          <w:numId w:val="10"/>
        </w:numPr>
        <w:spacing w:after="100" w:line="264" w:lineRule="auto"/>
        <w:ind w:left="720" w:hanging="360"/>
      </w:pPr>
      <w:r>
        <w:rPr>
          <w:rFonts w:ascii="Calibri" w:hAnsi="Calibri" w:eastAsia="Calibri"/>
          <w:color w:val="111827"/>
          <w:sz w:val="21"/>
        </w:rPr>
        <w:t>Post-deployment browser smoke verification: passed for critical L1/L2/L3 flows, including custom execution behavior and the L3 minimap connection fix; temporary verification data was removed.</w:t>
      </w:r>
    </w:p>
    <w:p>
      <w:pPr>
        <w:pStyle w:val="Heading2"/>
      </w:pPr>
      <w:r>
        <w:rPr>
          <w:rFonts w:ascii="Calibri" w:hAnsi="Calibri" w:eastAsia="Calibri"/>
          <w:b w:val="0"/>
          <w:i w:val="0"/>
          <w:color w:val="111827"/>
        </w:rPr>
        <w:t>Production reference</w:t>
      </w:r>
    </w:p>
    <w:p>
      <w:pPr>
        <w:spacing w:after="120"/>
      </w:pPr>
      <w:r>
        <w:rPr>
          <w:rFonts w:ascii="Calibri" w:hAnsi="Calibri" w:eastAsia="Calibri"/>
          <w:b/>
          <w:color w:val="0B2545"/>
          <w:sz w:val="21"/>
        </w:rPr>
        <w:t xml:space="preserve">Current production URL: </w:t>
      </w:r>
      <w:r>
        <w:rPr>
          <w:rFonts w:ascii="Calibri" w:hAnsi="Calibri" w:eastAsia="Calibri"/>
          <w:color w:val="2E74B5"/>
          <w:sz w:val="21"/>
        </w:rPr>
        <w:t>https://project-workflow-builder.pages.dev/</w:t>
      </w:r>
    </w:p>
    <w:p>
      <w:pPr>
        <w:pStyle w:val="Heading1"/>
      </w:pPr>
      <w:r>
        <w:rPr>
          <w:rFonts w:ascii="Calibri" w:hAnsi="Calibri" w:eastAsia="Calibri"/>
          <w:b w:val="0"/>
          <w:i w:val="0"/>
          <w:color w:val="111827"/>
        </w:rPr>
        <w:t>8. Decisions still owned by ProFab</w:t>
      </w:r>
    </w:p>
    <w:p>
      <w:pPr>
        <w:spacing w:after="160"/>
      </w:pPr>
      <w:r>
        <w:rPr>
          <w:rFonts w:ascii="Calibri" w:hAnsi="Calibri" w:eastAsia="Calibri"/>
          <w:b w:val="0"/>
          <w:i w:val="0"/>
          <w:color w:val="111827"/>
          <w:sz w:val="22"/>
        </w:rPr>
        <w:t>The software now has the structure needed to carry these decisions. The decisions themselves should be confirmed in the controlled operating model before a project-specific workflow is released.</w:t>
      </w:r>
    </w:p>
    <w:p>
      <w:pPr>
        <w:numPr>
          <w:ilvl w:val="0"/>
          <w:numId w:val="10"/>
        </w:numPr>
        <w:spacing w:after="100" w:line="264" w:lineRule="auto"/>
        <w:ind w:left="720" w:hanging="360"/>
      </w:pPr>
      <w:r>
        <w:rPr>
          <w:rFonts w:ascii="Calibri" w:hAnsi="Calibri" w:eastAsia="Calibri"/>
          <w:color w:val="111827"/>
          <w:sz w:val="21"/>
        </w:rPr>
        <w:t>Confirm the final approval matrix and delegation thresholds for each route and gate.</w:t>
      </w:r>
    </w:p>
    <w:p>
      <w:pPr>
        <w:numPr>
          <w:ilvl w:val="0"/>
          <w:numId w:val="10"/>
        </w:numPr>
        <w:spacing w:after="100" w:line="264" w:lineRule="auto"/>
        <w:ind w:left="720" w:hanging="360"/>
      </w:pPr>
      <w:r>
        <w:rPr>
          <w:rFonts w:ascii="Calibri" w:hAnsi="Calibri" w:eastAsia="Calibri"/>
          <w:color w:val="111827"/>
          <w:sz w:val="21"/>
        </w:rPr>
        <w:t>Confirm the production-controlled versions of the source forms, including the DC/CD and SOW/PSO/WMA numbering decisions.</w:t>
      </w:r>
    </w:p>
    <w:p>
      <w:pPr>
        <w:numPr>
          <w:ilvl w:val="0"/>
          <w:numId w:val="10"/>
        </w:numPr>
        <w:spacing w:after="100" w:line="264" w:lineRule="auto"/>
        <w:ind w:left="720" w:hanging="360"/>
      </w:pPr>
      <w:r>
        <w:rPr>
          <w:rFonts w:ascii="Calibri" w:hAnsi="Calibri" w:eastAsia="Calibri"/>
          <w:color w:val="111827"/>
          <w:sz w:val="21"/>
        </w:rPr>
        <w:t>Confirm legal and bilingual wording by jurisdiction; the application can store the controlled content but does not replace counsel review.</w:t>
      </w:r>
    </w:p>
    <w:p>
      <w:pPr>
        <w:numPr>
          <w:ilvl w:val="0"/>
          <w:numId w:val="10"/>
        </w:numPr>
        <w:spacing w:after="100" w:line="264" w:lineRule="auto"/>
        <w:ind w:left="720" w:hanging="360"/>
      </w:pPr>
      <w:r>
        <w:rPr>
          <w:rFonts w:ascii="Calibri" w:hAnsi="Calibri" w:eastAsia="Calibri"/>
          <w:color w:val="111827"/>
          <w:sz w:val="21"/>
        </w:rPr>
        <w:t>Confirm route-specific required fields, payment percentages, warranty duration, and ownership of 30/60/90 follow-ups.</w:t>
      </w:r>
    </w:p>
    <w:p>
      <w:pPr>
        <w:numPr>
          <w:ilvl w:val="0"/>
          <w:numId w:val="10"/>
        </w:numPr>
        <w:spacing w:after="100" w:line="264" w:lineRule="auto"/>
        <w:ind w:left="720" w:hanging="360"/>
      </w:pPr>
      <w:r>
        <w:rPr>
          <w:rFonts w:ascii="Calibri" w:hAnsi="Calibri" w:eastAsia="Calibri"/>
          <w:color w:val="111827"/>
          <w:sz w:val="21"/>
        </w:rPr>
        <w:t>Use the validation and audit views as the release checklist whenever a project-specific workflow or form is customized.</w:t>
      </w:r>
    </w:p>
    <w:p>
      <w:pPr>
        <w:pStyle w:val="Heading1"/>
      </w:pPr>
      <w:r>
        <w:rPr>
          <w:rFonts w:ascii="Calibri" w:hAnsi="Calibri" w:eastAsia="Calibri"/>
          <w:b w:val="0"/>
          <w:i w:val="0"/>
          <w:color w:val="111827"/>
        </w:rPr>
        <w:t>Conclusion</w:t>
      </w:r>
    </w:p>
    <w:p>
      <w:pPr>
        <w:spacing w:after="0"/>
      </w:pPr>
      <w:r>
        <w:rPr>
          <w:rFonts w:ascii="Calibri" w:hAnsi="Calibri" w:eastAsia="Calibri"/>
          <w:b w:val="0"/>
          <w:i w:val="0"/>
          <w:color w:val="111827"/>
          <w:sz w:val="22"/>
        </w:rPr>
        <w:t>The system is aligned to JF's requested hierarchy: a small high-level pyramid, a fully linked detailed workflow, and an executable L3 layer that turns requirements into evidence and release decisions. The most important control is the explicit ownership chain: L1 groups the story, L2 groups the work, and L3 proves that the work is ready to move. This report and the accompanying presentation use the same JF-01 through JF-23 identifiers so that future changes can be reviewed as deltas against a stable traceability baseline.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472"/>
        <w:sz w:val="18"/>
      </w:rPr>
      <w:t xml:space="preserve">Implementation traceability review  •  Page </w:t>
    </w:r>
    <w:r>
      <w:rPr>
        <w:rFonts w:ascii="Calibri" w:hAnsi="Calibri" w:eastAsia="Calibri"/>
        <w:color w:val="5B6472"/>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b/>
        <w:color w:val="5B6472"/>
        <w:sz w:val="17"/>
      </w:rPr>
      <w:t>PROFAB  /  JF TRACEABILITY</w:t>
    </w:r>
    <w:r>
      <w:rPr>
        <w:rFonts w:ascii="Calibri" w:hAnsi="Calibri" w:eastAsia="Calibri"/>
        <w:color w:val="5B6472"/>
        <w:sz w:val="17"/>
      </w:rPr>
      <w:tab/>
      <w:t>31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abstractNum>
  <w:num w:numId="10">
    <w:abstractNumId w:val="9"/>
  </w:num>
  <w:abstractNum w:abstractNumId="1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64" w:lineRule="auto"/>
    </w:pPr>
    <w:rPr>
      <w:rFonts w:asciiTheme="majorHAnsi" w:eastAsiaTheme="majorEastAsia" w:hAnsiTheme="majorHAnsi" w:cstheme="majorBidi" w:ascii="Calibri" w:hAnsi="Calibri" w:eastAsia="Calibri"/>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2" w:lineRule="auto"/>
    </w:pPr>
    <w:rPr>
      <w:rFonts w:ascii="Calibri" w:hAnsi="Calibri" w:eastAsia="Calibri"/>
      <w:color w:val="111827"/>
      <w:sz w:val="18"/>
    </w:rPr>
  </w:style>
  <w:style w:type="paragraph" w:customStyle="1" w:styleId="TableHeader">
    <w:name w:val="Table Header"/>
    <w:pPr>
      <w:spacing w:before="0" w:after="0" w:line="252" w:lineRule="auto"/>
    </w:pPr>
    <w:rPr>
      <w:rFonts w:ascii="Calibri" w:hAnsi="Calibri" w:eastAsia="Calibri"/>
      <w:b/>
      <w:color w:val="0B2545"/>
      <w:sz w:val="18"/>
    </w:rPr>
  </w:style>
  <w:style w:type="paragraph" w:customStyle="1" w:styleId="SmallNote">
    <w:name w:val="Small Note"/>
    <w:pPr>
      <w:spacing w:before="80" w:after="120" w:line="252" w:lineRule="auto"/>
    </w:pPr>
    <w:rPr>
      <w:rFonts w:ascii="Calibri" w:hAnsi="Calibri" w:eastAsia="Calibri"/>
      <w:i/>
      <w:color w:val="5B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