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130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r>
      <w:r>
        <w:rPr>
          <w:b/>
          <w:i w:val="0"/>
        </w:rPr>
        <w:t>Siglas</w:t>
      </w:r>
      <w:r>
        <w:rPr>
          <w:b w:val="0"/>
          <w:i w:val="0"/>
        </w:rPr>
        <w:t>: un canal de RTVE, así escrito por la casa con tres letras (</w:t>
      </w:r>
      <w:r>
        <w:rPr>
          <w:b/>
          <w:i w:val="0"/>
        </w:rPr>
        <w:t>TDP</w:t>
      </w:r>
      <w:r>
        <w:rPr>
          <w:b w:val="0"/>
          <w:i w:val="0"/>
        </w:rPr>
        <w:t>), y dos bandas de</w:t>
      </w:r>
      <w:r>
        <w:t xml:space="preserve"> </w:t>
      </w:r>
      <w:r>
        <w:rPr>
          <w:b w:val="0"/>
          <w:i w:val="0"/>
        </w:rPr>
        <w:t>radiofrecuencia que la nota oficial nombra igual (</w:t>
      </w:r>
      <w:r>
        <w:rPr>
          <w:b/>
          <w:i w:val="0"/>
        </w:rPr>
        <w:t>UHF</w:t>
      </w:r>
      <w:r>
        <w:rPr>
          <w:b w:val="0"/>
          <w:i w:val="0"/>
        </w:rPr>
        <w:t xml:space="preserve"> y </w:t>
      </w:r>
      <w:r>
        <w:rPr>
          <w:b/>
          <w:i w:val="0"/>
        </w:rPr>
        <w:t>VHF</w:t>
      </w:r>
      <w:r>
        <w:rPr>
          <w:b w:val="0"/>
          <w:i w:val="0"/>
        </w:rPr>
        <w:t xml:space="preserve">). </w:t>
      </w:r>
      <w:r>
        <w:rPr>
          <w:b/>
          <w:i w:val="0"/>
        </w:rPr>
        <w:t>Ninguna de las fuentes</w:t>
      </w:r>
      <w:r>
        <w:t xml:space="preserve"> </w:t>
      </w:r>
      <w:r>
        <w:rPr>
          <w:b/>
          <w:i w:val="0"/>
        </w:rPr>
        <w:t>reunidas despliega esas iniciales</w:t>
      </w:r>
      <w:r>
        <w:rPr>
          <w:b w:val="0"/>
          <w:i w:val="0"/>
        </w:rPr>
        <w:t>, y este esquema tampoco.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w:t>
      </w:r>
      <w:r>
        <w:rPr>
          <w:b/>
          <w:i w:val="0"/>
        </w:rPr>
        <w:t>2 de septiembre de</w:t>
      </w:r>
      <w:r>
        <w:t xml:space="preserve"> </w:t>
      </w:r>
      <w:r>
        <w:rPr>
          <w:b/>
          <w:i w:val="0"/>
        </w:rPr>
        <w:t>2026</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xml:space="preserve">, Centro Internacional del ISSN, leída el </w:t>
      </w:r>
      <w:r>
        <w:rPr>
          <w:b/>
          <w:i w:val="0"/>
        </w:rPr>
        <w:t>2 de septiembre de</w:t>
      </w:r>
      <w:r>
        <w:t xml:space="preserve"> </w:t>
      </w:r>
      <w:r>
        <w:rPr>
          <w:b/>
          <w:i w:val="0"/>
        </w:rPr>
        <w:t>2026</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el organismo internacional de normalización (</w:t>
      </w:r>
      <w:r>
        <w:rPr>
          <w:b/>
          <w:i w:val="0"/>
        </w:rPr>
        <w:t>ISO</w:t>
      </w:r>
      <w:r>
        <w:rPr>
          <w:b w:val="0"/>
          <w:i w:val="0"/>
        </w:rPr>
        <w:t>); el número internacional</w:t>
      </w:r>
      <w:r>
        <w:t xml:space="preserve"> </w:t>
      </w:r>
      <w:r>
        <w:rPr>
          <w:b w:val="0"/>
          <w:i w:val="0"/>
        </w:rPr>
        <w:t>normalizado del libro (</w:t>
      </w:r>
      <w:r>
        <w:rPr>
          <w:b/>
          <w:i w:val="0"/>
        </w:rPr>
        <w:t>ISBN</w:t>
      </w:r>
      <w:r>
        <w:rPr>
          <w:b w:val="0"/>
          <w:i w:val="0"/>
        </w:rPr>
        <w:t xml:space="preserve">, </w:t>
      </w:r>
      <w:r>
        <w:rPr>
          <w:b w:val="0"/>
          <w:i/>
        </w:rPr>
        <w:t>international standard book number</w:t>
      </w:r>
      <w:r>
        <w:rPr>
          <w:b w:val="0"/>
          <w:i w:val="0"/>
        </w:rPr>
        <w:t>); el código internacional</w:t>
      </w:r>
      <w:r>
        <w:t xml:space="preserve"> </w:t>
      </w:r>
      <w:r>
        <w:rPr>
          <w:b w:val="0"/>
          <w:i w:val="0"/>
        </w:rPr>
        <w:t>normalizado de grabaciones (</w:t>
      </w:r>
      <w:r>
        <w:rPr>
          <w:b/>
          <w:i w:val="0"/>
        </w:rPr>
        <w:t>ISRC</w:t>
      </w:r>
      <w:r>
        <w:rPr>
          <w:b w:val="0"/>
          <w:i w:val="0"/>
        </w:rPr>
        <w:t xml:space="preserve">, </w:t>
      </w:r>
      <w:r>
        <w:rPr>
          <w:b w:val="0"/>
          <w:i/>
        </w:rPr>
        <w:t>international standard recording code</w:t>
      </w:r>
      <w:r>
        <w:rPr>
          <w:b w:val="0"/>
          <w:i w:val="0"/>
        </w:rPr>
        <w:t>); y el número</w:t>
      </w:r>
      <w:r>
        <w:t xml:space="preserve"> </w:t>
      </w:r>
      <w:r>
        <w:rPr>
          <w:b w:val="0"/>
          <w:i w:val="0"/>
        </w:rPr>
        <w:t>internacional normalizado de publicaciones seriadas (</w:t>
      </w:r>
      <w:r>
        <w:rPr>
          <w:b/>
          <w:i w:val="0"/>
        </w:rPr>
        <w:t>ISSN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organismo internacional de normalización (</w:t>
      </w:r>
      <w:r>
        <w:rPr>
          <w:b/>
          <w:i w:val="0"/>
        </w:rPr>
        <w:t>ISO</w:t>
      </w:r>
      <w:r>
        <w:rPr>
          <w:b w:val="0"/>
          <w:i w:val="0"/>
        </w:rPr>
        <w:t>); número</w:t>
      </w:r>
      <w:r>
        <w:t xml:space="preserve"> </w:t>
      </w:r>
      <w:r>
        <w:rPr>
          <w:b w:val="0"/>
          <w:i w:val="0"/>
        </w:rPr>
        <w:t>internacional normalizado de publicaciones seriadas (</w:t>
      </w:r>
      <w:r>
        <w:rPr>
          <w:b/>
          <w:i w:val="0"/>
        </w:rPr>
        <w:t>ISSN</w:t>
      </w:r>
      <w:r>
        <w:rPr>
          <w:b w:val="0"/>
          <w:i w:val="0"/>
        </w:rPr>
        <w:t>); código internacional normalizado de</w:t>
      </w:r>
      <w:r>
        <w:t xml:space="preserve"> </w:t>
      </w:r>
      <w:r>
        <w:rPr>
          <w:b w:val="0"/>
          <w:i w:val="0"/>
        </w:rPr>
        <w:t>obras musicales (</w:t>
      </w:r>
      <w:r>
        <w:rPr>
          <w:b/>
          <w:i w:val="0"/>
        </w:rPr>
        <w:t>ISWC</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r>
      <w:r>
        <w:rPr>
          <w:b/>
          <w:i w:val="0"/>
        </w:rPr>
        <w:t>Siglas</w:t>
      </w:r>
      <w:r>
        <w:rPr>
          <w:b w:val="0"/>
          <w:i w:val="0"/>
        </w:rPr>
        <w:t>: la unión europea de radiodifusión, que la especificación nombra con sus siglas inglesas</w:t>
      </w:r>
      <w:r>
        <w:t xml:space="preserve"> </w:t>
      </w:r>
      <w:r>
        <w:rPr>
          <w:b w:val="0"/>
          <w:i w:val="0"/>
        </w:rPr>
        <w:t>(</w:t>
      </w:r>
      <w:r>
        <w:rPr>
          <w:b/>
          <w:i w:val="0"/>
        </w:rPr>
        <w:t>EBU</w:t>
      </w:r>
      <w:r>
        <w:rPr>
          <w:b w:val="0"/>
          <w:i w:val="0"/>
        </w:rPr>
        <w:t>); la unión internacional de telecomunicaciones, que la especificación también nombra en</w:t>
      </w:r>
      <w:r>
        <w:t xml:space="preserve"> </w:t>
      </w:r>
      <w:r>
        <w:rPr>
          <w:b w:val="0"/>
          <w:i w:val="0"/>
        </w:rPr>
        <w:t>inglés (</w:t>
      </w:r>
      <w:r>
        <w:rPr>
          <w:b/>
          <w:i w:val="0"/>
        </w:rPr>
        <w:t>ITU</w:t>
      </w:r>
      <w:r>
        <w:rPr>
          <w:b w:val="0"/>
          <w:i w:val="0"/>
        </w:rPr>
        <w:t>); y el marco de descripción de recursos (</w:t>
      </w:r>
      <w:r>
        <w:rPr>
          <w:b/>
          <w:i w:val="0"/>
        </w:rPr>
        <w:t>RDF</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Siglas</w:t>
      </w:r>
      <w:r>
        <w:rPr>
          <w:b w:val="0"/>
          <w:i w:val="0"/>
        </w:rPr>
        <w:t>: conjunto de metadatos de la unión europea de radiodifusión, que se</w:t>
      </w:r>
      <w:r>
        <w:t xml:space="preserve"> </w:t>
      </w:r>
      <w:r>
        <w:rPr>
          <w:b w:val="0"/>
          <w:i w:val="0"/>
        </w:rPr>
        <w:t>nombra con sus siglas inglesas (</w:t>
      </w:r>
      <w:r>
        <w:rPr>
          <w:b/>
          <w:i w:val="0"/>
        </w:rPr>
        <w:t>EBU</w:t>
      </w:r>
      <w:r>
        <w:rPr>
          <w:b w:val="0"/>
          <w:i w:val="0"/>
        </w:rPr>
        <w:t>); protocolo de transferencia de hipertexto (</w:t>
      </w:r>
      <w:r>
        <w:rPr>
          <w:b/>
          <w:i w:val="0"/>
        </w:rPr>
        <w:t>HTTP</w:t>
      </w:r>
      <w:r>
        <w:rPr>
          <w:b w:val="0"/>
          <w:i w:val="0"/>
        </w:rPr>
        <w:t>); marco</w:t>
      </w:r>
      <w:r>
        <w:t xml:space="preserve"> </w:t>
      </w:r>
      <w:r>
        <w:rPr>
          <w:b w:val="0"/>
          <w:i w:val="0"/>
        </w:rPr>
        <w:t>de descripción de recursos (</w:t>
      </w:r>
      <w:r>
        <w:rPr>
          <w:b/>
          <w:i w:val="0"/>
        </w:rPr>
        <w:t>RDF</w:t>
      </w:r>
      <w:r>
        <w:rPr>
          <w:b w:val="0"/>
          <w:i w:val="0"/>
        </w:rPr>
        <w:t>); lenguaje de marcado extensible (</w:t>
      </w:r>
      <w:r>
        <w:rPr>
          <w:b/>
          <w:i w:val="0"/>
        </w:rPr>
        <w:t>XML</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el modelo de lenguaje por el que se pregunta (</w:t>
      </w:r>
      <w:r>
        <w:rPr>
          <w:b/>
          <w:i w:val="0"/>
        </w:rPr>
        <w:t>BERT</w:t>
      </w:r>
      <w:r>
        <w:rPr>
          <w:b w:val="0"/>
          <w:i w:val="0"/>
        </w:rPr>
        <w:t xml:space="preserve">), que </w:t>
      </w:r>
      <w:r>
        <w:rPr>
          <w:b/>
          <w:i w:val="0"/>
        </w:rPr>
        <w:t>sus autores sí</w:t>
      </w:r>
      <w:r>
        <w:t xml:space="preserve"> </w:t>
      </w:r>
      <w:r>
        <w:rPr>
          <w:b/>
          <w:i w:val="0"/>
        </w:rPr>
        <w:t>desarrollan</w:t>
      </w:r>
      <w:r>
        <w:rPr>
          <w:b w:val="0"/>
          <w:i w:val="0"/>
        </w:rPr>
        <w:t xml:space="preserve">: </w:t>
      </w:r>
      <w:r>
        <w:rPr>
          <w:b w:val="0"/>
          <w:i/>
        </w:rPr>
        <w:t>bidirectional encoder representations from transformers</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la sociedad de ingenieros de cine y televisión (</w:t>
      </w:r>
      <w:r>
        <w:rPr>
          <w:b/>
          <w:i w:val="0"/>
        </w:rPr>
        <w:t>SMPTE</w:t>
      </w:r>
      <w:r>
        <w:rPr>
          <w:b w:val="0"/>
          <w:i w:val="0"/>
        </w:rPr>
        <w:t>) y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Siglas</w:t>
      </w:r>
      <w:r>
        <w:rPr>
          <w:b w:val="0"/>
          <w:i w:val="0"/>
        </w:rPr>
        <w:t>: codificación de audio avanzada (</w:t>
      </w:r>
      <w:r>
        <w:rPr>
          <w:b/>
          <w:i w:val="0"/>
        </w:rPr>
        <w:t>AAC</w:t>
      </w:r>
      <w:r>
        <w:rPr>
          <w:b w:val="0"/>
          <w:i w:val="0"/>
        </w:rPr>
        <w:t>); el gestor documental nuevo</w:t>
      </w:r>
      <w:r>
        <w:t xml:space="preserve"> </w:t>
      </w:r>
      <w:r>
        <w:rPr>
          <w:b w:val="0"/>
          <w:i w:val="0"/>
        </w:rPr>
        <w:t>de RTVE (</w:t>
      </w:r>
      <w:r>
        <w:rPr>
          <w:b/>
          <w:i w:val="0"/>
        </w:rPr>
        <w:t>ARCA</w:t>
      </w:r>
      <w:r>
        <w:rPr>
          <w:b w:val="0"/>
          <w:i w:val="0"/>
        </w:rPr>
        <w:t>, que su propia fuente sí desarrolla: «Archivo y Recuperación de Contenidos</w:t>
      </w:r>
      <w:r>
        <w:t xml:space="preserve"> </w:t>
      </w:r>
      <w:r>
        <w:rPr>
          <w:b w:val="0"/>
          <w:i w:val="0"/>
        </w:rPr>
        <w:t>Audiovisuales»); formato de onda de radiodifusión (</w:t>
      </w:r>
      <w:r>
        <w:rPr>
          <w:b/>
          <w:i w:val="0"/>
        </w:rPr>
        <w:t>BWF</w:t>
      </w:r>
      <w:r>
        <w:rPr>
          <w:b w:val="0"/>
          <w:i w:val="0"/>
        </w:rPr>
        <w:t>); las tres familias de gestión de</w:t>
      </w:r>
      <w:r>
        <w:t xml:space="preserve"> </w:t>
      </w:r>
      <w:r>
        <w:rPr>
          <w:b w:val="0"/>
          <w:i w:val="0"/>
        </w:rPr>
        <w:t>activos: de medios (</w:t>
      </w:r>
      <w:r>
        <w:rPr>
          <w:b/>
          <w:i w:val="0"/>
        </w:rPr>
        <w:t>MAM</w:t>
      </w:r>
      <w:r>
        <w:rPr>
          <w:b w:val="0"/>
          <w:i w:val="0"/>
        </w:rPr>
        <w:t>), de producción (</w:t>
      </w:r>
      <w:r>
        <w:rPr>
          <w:b/>
          <w:i w:val="0"/>
        </w:rPr>
        <w:t>PAM</w:t>
      </w:r>
      <w:r>
        <w:rPr>
          <w:b w:val="0"/>
          <w:i w:val="0"/>
        </w:rPr>
        <w:t>) y digitales (</w:t>
      </w:r>
      <w:r>
        <w:rPr>
          <w:b/>
          <w:i w:val="0"/>
        </w:rPr>
        <w:t>DAM</w:t>
      </w:r>
      <w:r>
        <w:rPr>
          <w:b w:val="0"/>
          <w:i w:val="0"/>
        </w:rPr>
        <w:t>); servicio europeo de</w:t>
      </w:r>
      <w:r>
        <w:t xml:space="preserve"> </w:t>
      </w:r>
      <w:r>
        <w:rPr>
          <w:b w:val="0"/>
          <w:i w:val="0"/>
        </w:rPr>
        <w:t>radiodifusión de la Unión Europea (</w:t>
      </w:r>
      <w:r>
        <w:rPr>
          <w:b/>
          <w:i w:val="0"/>
        </w:rPr>
        <w:t>EBS</w:t>
      </w:r>
      <w:r>
        <w:rPr>
          <w:b w:val="0"/>
          <w:i w:val="0"/>
        </w:rPr>
        <w:t>); la unión europea de radiodifusión, que se escribe con</w:t>
      </w:r>
      <w:r>
        <w:t xml:space="preserve"> </w:t>
      </w:r>
      <w:r>
        <w:rPr>
          <w:b w:val="0"/>
          <w:i w:val="0"/>
        </w:rPr>
        <w:t>siglas inglesas (</w:t>
      </w:r>
      <w:r>
        <w:rPr>
          <w:b/>
          <w:i w:val="0"/>
        </w:rPr>
        <w:t>EBU</w:t>
      </w:r>
      <w:r>
        <w:rPr>
          <w:b w:val="0"/>
          <w:i w:val="0"/>
        </w:rPr>
        <w:t>) y con siglas españolas (</w:t>
      </w:r>
      <w:r>
        <w:rPr>
          <w:b/>
          <w:i w:val="0"/>
        </w:rPr>
        <w:t>UER</w:t>
      </w:r>
      <w:r>
        <w:rPr>
          <w:b w:val="0"/>
          <w:i w:val="0"/>
        </w:rPr>
        <w:t>); la organización internacional de</w:t>
      </w:r>
      <w:r>
        <w:t xml:space="preserve"> </w:t>
      </w:r>
      <w:r>
        <w:rPr>
          <w:b w:val="0"/>
          <w:i w:val="0"/>
        </w:rPr>
        <w:t>normalización (</w:t>
      </w:r>
      <w:r>
        <w:rPr>
          <w:b/>
          <w:i w:val="0"/>
        </w:rPr>
        <w:t>ISO</w:t>
      </w:r>
      <w:r>
        <w:rPr>
          <w:b w:val="0"/>
          <w:i w:val="0"/>
        </w:rPr>
        <w:t>); cinta lineal abierta (</w:t>
      </w:r>
      <w:r>
        <w:rPr>
          <w:b/>
          <w:i w:val="0"/>
        </w:rPr>
        <w:t>LTO</w:t>
      </w:r>
      <w:r>
        <w:rPr>
          <w:b w:val="0"/>
          <w:i w:val="0"/>
        </w:rPr>
        <w:t>); el formato de intercambio de material</w:t>
      </w:r>
      <w:r>
        <w:t xml:space="preserve"> </w:t>
      </w:r>
      <w:r>
        <w:rPr>
          <w:b w:val="0"/>
          <w:i w:val="0"/>
        </w:rPr>
        <w:t>(</w:t>
      </w:r>
      <w:r>
        <w:rPr>
          <w:b/>
          <w:i w:val="0"/>
        </w:rPr>
        <w:t>MXF</w:t>
      </w:r>
      <w:r>
        <w:rPr>
          <w:b w:val="0"/>
          <w:i w:val="0"/>
        </w:rPr>
        <w:t>); modulación por impulsos codificados (</w:t>
      </w:r>
      <w:r>
        <w:rPr>
          <w:b/>
          <w:i w:val="0"/>
        </w:rPr>
        <w:t>PCM</w:t>
      </w:r>
      <w:r>
        <w:rPr>
          <w:b w:val="0"/>
          <w:i w:val="0"/>
        </w:rPr>
        <w:t>); gestor documental antiguo de RTVE</w:t>
      </w:r>
      <w:r>
        <w:t xml:space="preserve"> </w:t>
      </w:r>
      <w:r>
        <w:rPr>
          <w:b w:val="0"/>
          <w:i w:val="0"/>
        </w:rPr>
        <w:t>(</w:t>
      </w:r>
      <w:r>
        <w:rPr>
          <w:b/>
          <w:i w:val="0"/>
        </w:rPr>
        <w:t>SIRTEX</w:t>
      </w:r>
      <w:r>
        <w:rPr>
          <w:b w:val="0"/>
          <w:i w:val="0"/>
        </w:rPr>
        <w:t>); sociedad de ingenieros de cine y televisión (</w:t>
      </w:r>
      <w:r>
        <w:rPr>
          <w:b/>
          <w:i w:val="0"/>
        </w:rPr>
        <w:t>SMPTE</w:t>
      </w:r>
      <w:r>
        <w:rPr>
          <w:b w:val="0"/>
          <w:i w:val="0"/>
        </w:rPr>
        <w:t>); tratado de la Unión Europea</w:t>
      </w:r>
      <w:r>
        <w:t xml:space="preserve"> </w:t>
      </w:r>
      <w:r>
        <w:rPr>
          <w:b w:val="0"/>
          <w:i w:val="0"/>
        </w:rPr>
        <w:t>(</w:t>
      </w:r>
      <w:r>
        <w:rPr>
          <w:b/>
          <w:i w:val="0"/>
        </w:rPr>
        <w:t>TUE</w:t>
      </w:r>
      <w:r>
        <w:rPr>
          <w:b w:val="0"/>
          <w:i w:val="0"/>
        </w:rPr>
        <w:t>).</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Banco Central Europeo (</w:t>
      </w:r>
      <w:r>
        <w:rPr>
          <w:b/>
          <w:i w:val="0"/>
        </w:rPr>
        <w:t>BCE</w:t>
      </w:r>
      <w:r>
        <w:rPr>
          <w:b w:val="0"/>
          <w:i w:val="0"/>
        </w:rPr>
        <w:t>); repeticiones palindrómicas cortas</w:t>
      </w:r>
      <w:r>
        <w:t xml:space="preserve"> </w:t>
      </w:r>
      <w:r>
        <w:rPr>
          <w:b w:val="0"/>
          <w:i w:val="0"/>
        </w:rPr>
        <w:t>agrupadas y regularmente espaciadas (</w:t>
      </w:r>
      <w:r>
        <w:rPr>
          <w:b/>
          <w:i w:val="0"/>
        </w:rPr>
        <w:t>CRISPR</w:t>
      </w:r>
      <w:r>
        <w:rPr>
          <w:b w:val="0"/>
          <w:i w:val="0"/>
        </w:rPr>
        <w:t>); Grupos de Resistencia Antifascista Primero de</w:t>
      </w:r>
      <w:r>
        <w:t xml:space="preserve"> </w:t>
      </w:r>
      <w:r>
        <w:rPr>
          <w:b w:val="0"/>
          <w:i w:val="0"/>
        </w:rPr>
        <w:t>Octubre (</w:t>
      </w:r>
      <w:r>
        <w:rPr>
          <w:b/>
          <w:i w:val="0"/>
        </w:rPr>
        <w:t>GRAPO</w:t>
      </w:r>
      <w:r>
        <w:rPr>
          <w:b w:val="0"/>
          <w:i w:val="0"/>
        </w:rPr>
        <w:t>, así los nombra el enunciado del examen); empresa del cohete español (</w:t>
      </w:r>
      <w:r>
        <w:rPr>
          <w:b/>
          <w:i w:val="0"/>
        </w:rPr>
        <w:t>PLD</w:t>
      </w:r>
      <w:r>
        <w:rPr>
          <w:b w:val="0"/>
          <w:i w:val="0"/>
        </w:rPr>
      </w:r>
      <w:r>
        <w:t xml:space="preserve"> </w:t>
      </w:r>
      <w:r>
        <w:rPr>
          <w:b w:val="0"/>
          <w:i w:val="0"/>
        </w:rPr>
        <w:t>Space); Unión Europea (</w:t>
      </w:r>
      <w:r>
        <w:rPr>
          <w:b/>
          <w:i w:val="0"/>
        </w:rPr>
        <w:t>UE</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