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129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empresa de trabajo</w:t>
      </w:r>
      <w:r>
        <w:t xml:space="preserve"> </w:t>
      </w:r>
      <w:r>
        <w:rPr>
          <w:b w:val="0"/>
          <w:i w:val="0"/>
        </w:rPr>
        <w:t>temporal (</w:t>
      </w:r>
      <w:r>
        <w:rPr>
          <w:b/>
          <w:i w:val="0"/>
        </w:rPr>
        <w:t>ETT</w:t>
      </w:r>
      <w:r>
        <w:rPr>
          <w:b w:val="0"/>
          <w:i w:val="0"/>
        </w:rPr>
        <w:t>), la Tesorería General de la Seguridad Social (</w:t>
      </w:r>
      <w:r>
        <w:rPr>
          <w:b/>
          <w:i w:val="0"/>
        </w:rPr>
        <w:t>TGSS</w:t>
      </w:r>
      <w:r>
        <w:rPr>
          <w:b w:val="0"/>
          <w:i w:val="0"/>
        </w:rPr>
        <w:t>), el Boletín Oficial del</w:t>
      </w:r>
      <w:r>
        <w:t xml:space="preserve"> </w:t>
      </w:r>
      <w:r>
        <w:rPr>
          <w:b w:val="0"/>
          <w:i w:val="0"/>
        </w:rPr>
        <w:t>Estado (</w:t>
      </w:r>
      <w:r>
        <w:rPr>
          <w:b/>
          <w:i w:val="0"/>
        </w:rPr>
        <w:t>BOE</w:t>
      </w:r>
      <w:r>
        <w:rPr>
          <w:b w:val="0"/>
          <w:i w:val="0"/>
        </w:rPr>
        <w:t>) y el real decreto legislativo (</w:t>
      </w:r>
      <w:r>
        <w:rPr>
          <w:b/>
          <w:i w:val="0"/>
        </w:rPr>
        <w:t>RDLeg</w:t>
      </w:r>
      <w:r>
        <w:rPr>
          <w:b w:val="0"/>
          <w:i w:val="0"/>
        </w:rPr>
        <w:t>).</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w:t>
      </w:r>
      <w:r>
        <w:rPr>
          <w:b/>
          <w:i w:val="0"/>
        </w:rPr>
        <w:t>de acuerdo a las titulaciones académicas o profesionales</w:t>
      </w:r>
      <w:r>
        <w:t xml:space="preserve"> </w:t>
      </w:r>
      <w:r>
        <w:rPr>
          <w:b/>
          <w:i w:val="0"/>
        </w:rPr>
        <w:t>precisas para ejercer la prestación laboral y con respeto a la dignidad del trabajador</w:t>
      </w:r>
      <w:r>
        <w:rPr>
          <w:b w:val="0"/>
          <w:i w:val="0"/>
        </w:rPr>
        <w:t>».</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w:t>
      </w:r>
      <w:r>
        <w:rPr>
          <w:b/>
          <w:i w:val="0"/>
        </w:rPr>
        <w:t>Funciones, cuando excedan de los límites que para la movilidad funcional prevé el</w:t>
      </w:r>
      <w:r>
        <w:t xml:space="preserve"> </w:t>
      </w:r>
      <w:r>
        <w:rPr>
          <w:b/>
          <w:i w:val="0"/>
        </w:rPr>
        <w:t>artículo 39.</w:t>
      </w:r>
      <w:r>
        <w:rPr>
          <w:b w:val="0"/>
          <w:i w:val="0"/>
        </w:rPr>
        <w:t>»</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el Boletín Oficial del Estado (</w:t>
      </w:r>
      <w:r>
        <w:rPr>
          <w:b/>
          <w:i w:val="0"/>
        </w:rPr>
        <w:t>BOE</w:t>
      </w:r>
      <w:r>
        <w:rPr>
          <w:b w:val="0"/>
          <w:i w:val="0"/>
        </w:rPr>
        <w:t>), el Fondo de Garantía Salarial</w:t>
      </w:r>
      <w:r>
        <w:t xml:space="preserve"> </w:t>
      </w:r>
      <w:r>
        <w:rPr>
          <w:b w:val="0"/>
          <w:i w:val="0"/>
        </w:rPr>
        <w:t>(</w:t>
      </w:r>
      <w:r>
        <w:rPr>
          <w:b/>
          <w:i w:val="0"/>
        </w:rPr>
        <w:t>FOGASA</w:t>
      </w:r>
      <w:r>
        <w:rPr>
          <w:b w:val="0"/>
          <w:i w:val="0"/>
        </w:rPr>
        <w:t>), la Ley de Enjuiciamiento Civil (</w:t>
      </w:r>
      <w:r>
        <w:rPr>
          <w:b/>
          <w:i w:val="0"/>
        </w:rPr>
        <w:t>LEC</w:t>
      </w:r>
      <w:r>
        <w:rPr>
          <w:b w:val="0"/>
          <w:i w:val="0"/>
        </w:rPr>
        <w:t>) y el índice de precios de consumo (</w:t>
      </w:r>
      <w:r>
        <w:rPr>
          <w:b/>
          <w:i w:val="0"/>
        </w:rPr>
        <w:t>IPC</w:t>
      </w:r>
      <w:r>
        <w:rPr>
          <w:b w:val="0"/>
          <w:i w:val="0"/>
        </w:rPr>
        <w:t>).</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la mano de obra directa</w:t>
      </w:r>
      <w:r>
        <w:t xml:space="preserve"> </w:t>
      </w:r>
      <w:r>
        <w:rPr>
          <w:b w:val="0"/>
          <w:i w:val="0"/>
        </w:rPr>
        <w:t>(</w:t>
      </w:r>
      <w:r>
        <w:rPr>
          <w:b/>
          <w:i w:val="0"/>
        </w:rPr>
        <w:t>MOD</w:t>
      </w:r>
      <w:r>
        <w:rPr>
          <w:b w:val="0"/>
          <w:i w:val="0"/>
        </w:rPr>
        <w:t>), los costes indirectos de fabricación (</w:t>
      </w:r>
      <w:r>
        <w:rPr>
          <w:b/>
          <w:i w:val="0"/>
        </w:rPr>
        <w:t>CIF</w:t>
      </w:r>
      <w:r>
        <w:rPr>
          <w:b w:val="0"/>
          <w:i w:val="0"/>
        </w:rPr>
        <w:t>), el coste medio ponderado (</w:t>
      </w:r>
      <w:r>
        <w:rPr>
          <w:b/>
          <w:i w:val="0"/>
        </w:rPr>
        <w:t>CMP</w:t>
      </w:r>
      <w:r>
        <w:rPr>
          <w:b w:val="0"/>
          <w:i w:val="0"/>
        </w:rPr>
        <w:t>), el</w:t>
      </w:r>
      <w:r>
        <w:t xml:space="preserve"> </w:t>
      </w:r>
      <w:r>
        <w:rPr>
          <w:b w:val="0"/>
          <w:i w:val="0"/>
        </w:rPr>
        <w:t>método de primera entrada primera salida (</w:t>
      </w:r>
      <w:r>
        <w:rPr>
          <w:b/>
          <w:i w:val="0"/>
        </w:rPr>
        <w:t>FIFO</w:t>
      </w:r>
      <w:r>
        <w:rPr>
          <w:b w:val="0"/>
          <w:i w:val="0"/>
        </w:rPr>
        <w:t xml:space="preserve">, del inglés </w:t>
      </w:r>
      <w:r>
        <w:rPr>
          <w:b w:val="0"/>
          <w:i/>
        </w:rPr>
        <w:t>first in, first out</w:t>
      </w:r>
      <w:r>
        <w:rPr>
          <w:b w:val="0"/>
          <w:i w:val="0"/>
        </w:rPr>
        <w:t>), el de última</w:t>
      </w:r>
      <w:r>
        <w:t xml:space="preserve"> </w:t>
      </w:r>
      <w:r>
        <w:rPr>
          <w:b w:val="0"/>
          <w:i w:val="0"/>
        </w:rPr>
        <w:t>entrada primera salida (</w:t>
      </w:r>
      <w:r>
        <w:rPr>
          <w:b/>
          <w:i w:val="0"/>
        </w:rPr>
        <w:t>LIFO</w:t>
      </w:r>
      <w:r>
        <w:rPr>
          <w:b w:val="0"/>
          <w:i w:val="0"/>
        </w:rPr>
        <w:t xml:space="preserve">, del inglés </w:t>
      </w:r>
      <w:r>
        <w:rPr>
          <w:b w:val="0"/>
          <w:i/>
        </w:rPr>
        <w:t>last in, first out</w:t>
      </w:r>
      <w:r>
        <w:rPr>
          <w:b w:val="0"/>
          <w:i w:val="0"/>
        </w:rPr>
        <w:t>), el coste basado en actividades</w:t>
      </w:r>
      <w:r>
        <w:t xml:space="preserve"> </w:t>
      </w:r>
      <w:r>
        <w:rPr>
          <w:b w:val="0"/>
          <w:i w:val="0"/>
        </w:rPr>
        <w:t>(</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el fondo de maniobra</w:t>
      </w:r>
      <w:r>
        <w:t xml:space="preserve"> </w:t>
      </w:r>
      <w:r>
        <w:rPr>
          <w:b w:val="0"/>
          <w:i w:val="0"/>
        </w:rPr>
        <w:t>(</w:t>
      </w:r>
      <w:r>
        <w:rPr>
          <w:b/>
          <w:i w:val="0"/>
        </w:rPr>
        <w:t>FM</w:t>
      </w:r>
      <w:r>
        <w:rPr>
          <w:b w:val="0"/>
          <w:i w:val="0"/>
        </w:rPr>
        <w:t>), el beneficio antes de impuestos (</w:t>
      </w:r>
      <w:r>
        <w:rPr>
          <w:b/>
          <w:i w:val="0"/>
        </w:rPr>
        <w:t>BAI</w:t>
      </w:r>
      <w:r>
        <w:rPr>
          <w:b w:val="0"/>
          <w:i w:val="0"/>
        </w:rPr>
        <w:t>), el beneficio antes de intereses e impuestos</w:t>
      </w:r>
      <w:r>
        <w:t xml:space="preserve"> </w:t>
      </w:r>
      <w:r>
        <w:rPr>
          <w:b w:val="0"/>
          <w:i w:val="0"/>
        </w:rPr>
        <w:t>(</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w:t>
      </w:r>
      <w:r>
        <w:t xml:space="preserve"> </w:t>
      </w:r>
      <w:r>
        <w:rPr>
          <w:b w:val="0"/>
          <w:i w:val="0"/>
        </w:rPr>
        <w:t>intereses, impuestos, depreciaciones y amortizaciones (</w:t>
      </w:r>
      <w:r>
        <w:rPr>
          <w:b/>
          <w:i w:val="0"/>
        </w:rPr>
        <w:t>EBITDA</w:t>
      </w:r>
      <w:r>
        <w:rPr>
          <w:b w:val="0"/>
          <w:i w:val="0"/>
        </w:rPr>
        <w:t xml:space="preserve">, del inglés </w:t>
      </w:r>
      <w:r>
        <w:rPr>
          <w:b w:val="0"/>
          <w:i/>
        </w:rPr>
        <w:t>earnings before</w:t>
      </w:r>
      <w:r>
        <w:t xml:space="preserve"> </w:t>
      </w:r>
      <w:r>
        <w:rPr>
          <w:b w:val="0"/>
          <w:i/>
        </w:rPr>
        <w:t>interest, taxes, depreciation and amortization</w:t>
      </w:r>
      <w:r>
        <w:rPr>
          <w:b w:val="0"/>
          <w:i w:val="0"/>
        </w:rPr>
        <w:t>), la rentabilidad económica (</w:t>
      </w:r>
      <w:r>
        <w:rPr>
          <w:b/>
          <w:i w:val="0"/>
        </w:rPr>
        <w:t>ROA</w:t>
      </w:r>
      <w:r>
        <w:rPr>
          <w:b w:val="0"/>
          <w:i w:val="0"/>
        </w:rPr>
        <w:t>, del inglés</w:t>
      </w:r>
      <w:r>
        <w:t xml:space="preserve"> </w:t>
      </w:r>
      <w:r>
        <w:rPr>
          <w:b w:val="0"/>
          <w:i/>
        </w:rPr>
        <w:t>return on assets</w:t>
      </w:r>
      <w:r>
        <w:rPr>
          <w:b w:val="0"/>
          <w:i w:val="0"/>
        </w:rPr>
        <w:t>), la rentabilidad financiera (</w:t>
      </w:r>
      <w:r>
        <w:rPr>
          <w:b/>
          <w:i w:val="0"/>
        </w:rPr>
        <w:t>ROE</w:t>
      </w:r>
      <w:r>
        <w:rPr>
          <w:b w:val="0"/>
          <w:i w:val="0"/>
        </w:rPr>
        <w:t xml:space="preserve">, del inglés </w:t>
      </w:r>
      <w:r>
        <w:rPr>
          <w:b w:val="0"/>
          <w:i/>
        </w:rPr>
        <w:t>return on equity</w:t>
      </w:r>
      <w:r>
        <w:rPr>
          <w:b w:val="0"/>
          <w:i w:val="0"/>
        </w:rPr>
        <w:t>), el estado</w:t>
      </w:r>
      <w:r>
        <w:t xml:space="preserve"> </w:t>
      </w:r>
      <w:r>
        <w:rPr>
          <w:b w:val="0"/>
          <w:i w:val="0"/>
        </w:rPr>
        <w:t>de flujos de efectivo (</w:t>
      </w:r>
      <w:r>
        <w:rPr>
          <w:b/>
          <w:i w:val="0"/>
        </w:rPr>
        <w:t>EFE</w:t>
      </w:r>
      <w:r>
        <w:rPr>
          <w:b w:val="0"/>
          <w:i w:val="0"/>
        </w:rPr>
        <w:t>) y el Boletín Oficial del Estado (</w:t>
      </w:r>
      <w:r>
        <w:rPr>
          <w:b/>
          <w:i w:val="0"/>
        </w:rPr>
        <w:t>BOE</w:t>
      </w:r>
      <w:r>
        <w:rPr>
          <w:b w:val="0"/>
          <w:i w:val="0"/>
        </w:rPr>
        <w:t>).</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la incapacidad</w:t>
      </w:r>
      <w:r>
        <w:t xml:space="preserve"> </w:t>
      </w:r>
      <w:r>
        <w:rPr>
          <w:b w:val="0"/>
          <w:i w:val="0"/>
        </w:rPr>
        <w:t>temporal (</w:t>
      </w:r>
      <w:r>
        <w:rPr>
          <w:b/>
          <w:i w:val="0"/>
        </w:rPr>
        <w:t>IT</w:t>
      </w:r>
      <w:r>
        <w:rPr>
          <w:b w:val="0"/>
          <w:i w:val="0"/>
        </w:rPr>
        <w:t>), la incapacidad permanente (</w:t>
      </w:r>
      <w:r>
        <w:rPr>
          <w:b/>
          <w:i w:val="0"/>
        </w:rPr>
        <w:t>IP</w:t>
      </w:r>
      <w:r>
        <w:rPr>
          <w:b w:val="0"/>
          <w:i w:val="0"/>
        </w:rPr>
        <w:t>), el accidente de trabajo (</w:t>
      </w:r>
      <w:r>
        <w:rPr>
          <w:b/>
          <w:i w:val="0"/>
        </w:rPr>
        <w:t>AT</w:t>
      </w:r>
      <w:r>
        <w:rPr>
          <w:b w:val="0"/>
          <w:i w:val="0"/>
        </w:rPr>
        <w:t>), la</w:t>
      </w:r>
      <w:r>
        <w:t xml:space="preserve"> </w:t>
      </w:r>
      <w:r>
        <w:rPr>
          <w:b w:val="0"/>
          <w:i w:val="0"/>
        </w:rPr>
        <w:t>enfermedad profesional (</w:t>
      </w:r>
      <w:r>
        <w:rPr>
          <w:b/>
          <w:i w:val="0"/>
        </w:rPr>
        <w:t>EP</w:t>
      </w:r>
      <w:r>
        <w:rPr>
          <w:b w:val="0"/>
          <w:i w:val="0"/>
        </w:rPr>
        <w:t>), la Ley de Presupuestos Generales del Estado (</w:t>
      </w:r>
      <w:r>
        <w:rPr>
          <w:b/>
          <w:i w:val="0"/>
        </w:rPr>
        <w:t>LPGE</w:t>
      </w:r>
      <w:r>
        <w:rPr>
          <w:b w:val="0"/>
          <w:i w:val="0"/>
        </w:rPr>
        <w:t>), el salario</w:t>
      </w:r>
      <w:r>
        <w:t xml:space="preserve"> </w:t>
      </w:r>
      <w:r>
        <w:rPr>
          <w:b w:val="0"/>
          <w:i w:val="0"/>
        </w:rPr>
        <w:t>mínimo interprofesional (</w:t>
      </w:r>
      <w:r>
        <w:rPr>
          <w:b/>
          <w:i w:val="0"/>
        </w:rPr>
        <w:t>SMI</w:t>
      </w:r>
      <w:r>
        <w:rPr>
          <w:b w:val="0"/>
          <w:i w:val="0"/>
        </w:rPr>
        <w:t>), el índice de precios de consumo (</w:t>
      </w:r>
      <w:r>
        <w:rPr>
          <w:b/>
          <w:i w:val="0"/>
        </w:rPr>
        <w:t>IPC</w:t>
      </w:r>
      <w:r>
        <w:rPr>
          <w:b w:val="0"/>
          <w:i w:val="0"/>
        </w:rPr>
        <w:t>) y el Boletín Oficial</w:t>
      </w:r>
      <w:r>
        <w:t xml:space="preserve"> </w:t>
      </w:r>
      <w:r>
        <w:rPr>
          <w:b w:val="0"/>
          <w:i w:val="0"/>
        </w:rPr>
        <w:t>del Estado (</w:t>
      </w:r>
      <w:r>
        <w:rPr>
          <w:b/>
          <w:i w:val="0"/>
        </w:rPr>
        <w:t>BOE</w:t>
      </w:r>
      <w:r>
        <w:rPr>
          <w:b w:val="0"/>
          <w:i w:val="0"/>
        </w:rPr>
        <w:t>).</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los recursos humanos (</w:t>
      </w:r>
      <w:r>
        <w:rPr>
          <w:b/>
          <w:i w:val="0"/>
        </w:rPr>
        <w:t>RRHH</w:t>
      </w:r>
      <w:r>
        <w:rPr>
          <w:b w:val="0"/>
          <w:i w:val="0"/>
        </w:rPr>
        <w:t>), la valoración de puestos de trabajo</w:t>
      </w:r>
      <w:r>
        <w:t xml:space="preserve"> </w:t>
      </w:r>
      <w:r>
        <w:rPr>
          <w:b w:val="0"/>
          <w:i w:val="0"/>
        </w:rPr>
        <w:t>(</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la Ley</w:t>
      </w:r>
      <w:r>
        <w:t xml:space="preserve"> </w:t>
      </w:r>
      <w:r>
        <w:rPr>
          <w:b w:val="0"/>
          <w:i w:val="0"/>
        </w:rPr>
        <w:t>de Presupuestos Generales del Estado (</w:t>
      </w:r>
      <w:r>
        <w:rPr>
          <w:b/>
          <w:i w:val="0"/>
        </w:rPr>
        <w:t>LPGE</w:t>
      </w:r>
      <w:r>
        <w:rPr>
          <w:b w:val="0"/>
          <w:i w:val="0"/>
        </w:rPr>
        <w:t>), la incapacidad temporal (</w:t>
      </w:r>
      <w:r>
        <w:rPr>
          <w:b/>
          <w:i w:val="0"/>
        </w:rPr>
        <w:t>IT</w:t>
      </w:r>
      <w:r>
        <w:rPr>
          <w:b w:val="0"/>
          <w:i w:val="0"/>
        </w:rPr>
        <w:t>), el accidente de</w:t>
      </w:r>
      <w:r>
        <w:t xml:space="preserve"> </w:t>
      </w:r>
      <w:r>
        <w:rPr>
          <w:b w:val="0"/>
          <w:i w:val="0"/>
        </w:rPr>
        <w:t>trabajo y la enfermedad profesional (</w:t>
      </w:r>
      <w:r>
        <w:rPr>
          <w:b w:val="0"/>
          <w:i/>
        </w:rPr>
        <w:t>AT y EP</w:t>
      </w:r>
      <w:r>
        <w:rPr>
          <w:b w:val="0"/>
          <w:i w:val="0"/>
        </w:rPr>
        <w:t>), el Fondo de Garantía Salarial (</w:t>
      </w:r>
      <w:r>
        <w:rPr>
          <w:b/>
          <w:i w:val="0"/>
        </w:rPr>
        <w:t>FOGASA</w:t>
      </w:r>
      <w:r>
        <w:rPr>
          <w:b w:val="0"/>
          <w:i w:val="0"/>
        </w:rPr>
        <w:t>), la</w:t>
      </w:r>
      <w:r>
        <w:t xml:space="preserve"> </w:t>
      </w:r>
      <w:r>
        <w:rPr>
          <w:b w:val="0"/>
          <w:i w:val="0"/>
        </w:rPr>
        <w:t>formación profesional (</w:t>
      </w:r>
      <w:r>
        <w:rPr>
          <w:b/>
          <w:i w:val="0"/>
        </w:rPr>
        <w:t>FP</w:t>
      </w:r>
      <w:r>
        <w:rPr>
          <w:b w:val="0"/>
          <w:i w:val="0"/>
        </w:rPr>
        <w:t>), el salario mínimo interprofesional (</w:t>
      </w:r>
      <w:r>
        <w:rPr>
          <w:b/>
          <w:i w:val="0"/>
        </w:rPr>
        <w:t>SMI</w:t>
      </w:r>
      <w:r>
        <w:rPr>
          <w:b w:val="0"/>
          <w:i w:val="0"/>
        </w:rPr>
        <w:t>), la Tesorería General</w:t>
      </w:r>
      <w:r>
        <w:t xml:space="preserve"> </w:t>
      </w:r>
      <w:r>
        <w:rPr>
          <w:b w:val="0"/>
          <w:i w:val="0"/>
        </w:rPr>
        <w:t>de la Seguridad Social (</w:t>
      </w:r>
      <w:r>
        <w:rPr>
          <w:b/>
          <w:i w:val="0"/>
        </w:rPr>
        <w:t>TGSS</w:t>
      </w:r>
      <w:r>
        <w:rPr>
          <w:b w:val="0"/>
          <w:i w:val="0"/>
        </w:rPr>
        <w:t>) y el Boletín Oficial del Estado (</w:t>
      </w:r>
      <w:r>
        <w:rPr>
          <w:b/>
          <w:i w:val="0"/>
        </w:rPr>
        <w:t>BOE</w:t>
      </w:r>
      <w:r>
        <w:rPr>
          <w:b w:val="0"/>
          <w:i w:val="0"/>
        </w:rPr>
        <w:t>).</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r>
        <w:rPr>
          <w:b w:val="0"/>
          <w:i w:val="0"/>
        </w:rPr>
      </w:r>
      <w:r>
        <w:rPr>
          <w:b/>
          <w:i w:val="0"/>
        </w:rPr>
        <w:t>Siglas</w:t>
      </w:r>
      <w:r>
        <w:rPr>
          <w:b w:val="0"/>
          <w:i w:val="0"/>
        </w:rPr>
        <w:t>: el vídeo a la carta (</w:t>
      </w:r>
      <w:r>
        <w:rPr>
          <w:b/>
          <w:i w:val="0"/>
        </w:rPr>
        <w:t>VoD</w:t>
      </w:r>
      <w:r>
        <w:rPr>
          <w:b w:val="0"/>
          <w:i w:val="0"/>
        </w:rPr>
        <w:t xml:space="preserve">, del inglés </w:t>
      </w:r>
      <w:r>
        <w:rPr>
          <w:b w:val="0"/>
          <w:i/>
        </w:rPr>
        <w:t>video on demand</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la Asociación para la</w:t>
      </w:r>
      <w:r>
        <w:t xml:space="preserve"> </w:t>
      </w:r>
      <w:r>
        <w:rPr>
          <w:b w:val="0"/>
          <w:i w:val="0"/>
        </w:rPr>
        <w:t>Investigación de Medios de Comunicación (</w:t>
      </w:r>
      <w:r>
        <w:rPr>
          <w:b/>
          <w:i w:val="0"/>
        </w:rPr>
        <w:t>AIMC</w:t>
      </w:r>
      <w:r>
        <w:rPr>
          <w:b w:val="0"/>
          <w:i w:val="0"/>
        </w:rPr>
        <w:t>), la televisión digital terrestre (</w:t>
      </w:r>
      <w:r>
        <w:rPr>
          <w:b/>
          <w:i w:val="0"/>
        </w:rPr>
        <w:t>TDT</w:t>
      </w:r>
      <w:r>
        <w:rPr>
          <w:b w:val="0"/>
          <w:i w:val="0"/>
        </w:rPr>
        <w:t>), el</w:t>
      </w:r>
      <w:r>
        <w:t xml:space="preserve"> </w:t>
      </w:r>
      <w:r>
        <w:rPr>
          <w:b w:val="0"/>
          <w:i w:val="0"/>
        </w:rPr>
        <w:t>Comité Intercentros (</w:t>
      </w:r>
      <w:r>
        <w:rPr>
          <w:b/>
          <w:i w:val="0"/>
        </w:rPr>
        <w:t>CI</w:t>
      </w:r>
      <w:r>
        <w:rPr>
          <w:b w:val="0"/>
          <w:i w:val="0"/>
        </w:rPr>
        <w:t>), el protocolo de internet (</w:t>
      </w:r>
      <w:r>
        <w:rPr>
          <w:b/>
          <w:i w:val="0"/>
        </w:rPr>
        <w:t>IP</w:t>
      </w:r>
      <w:r>
        <w:rPr>
          <w:b w:val="0"/>
          <w:i w:val="0"/>
        </w:rPr>
        <w:t>), la banda de frecuencia ultraalta</w:t>
      </w:r>
      <w:r>
        <w:t xml:space="preserve"> </w:t>
      </w:r>
      <w:r>
        <w:rPr>
          <w:b w:val="0"/>
          <w:i w:val="0"/>
        </w:rPr>
        <w:t>(</w:t>
      </w:r>
      <w:r>
        <w:rPr>
          <w:b/>
          <w:i w:val="0"/>
        </w:rPr>
        <w:t>UHF</w:t>
      </w:r>
      <w:r>
        <w:rPr>
          <w:b w:val="0"/>
          <w:i w:val="0"/>
        </w:rPr>
        <w:t xml:space="preserve">, del inglés </w:t>
      </w:r>
      <w:r>
        <w:rPr>
          <w:b w:val="0"/>
          <w:i/>
        </w:rPr>
        <w:t>ultra high frequency</w:t>
      </w:r>
      <w:r>
        <w:rPr>
          <w:b w:val="0"/>
          <w:i w:val="0"/>
        </w:rPr>
        <w:t>), la transmisión digital por satélite desde el lugar de</w:t>
      </w:r>
      <w:r>
        <w:t xml:space="preserve"> </w:t>
      </w:r>
      <w:r>
        <w:rPr>
          <w:b w:val="0"/>
          <w:i w:val="0"/>
        </w:rPr>
        <w:t>la noticia (</w:t>
      </w:r>
      <w:r>
        <w:rPr>
          <w:b/>
          <w:i w:val="0"/>
        </w:rPr>
        <w:t>DSNG</w:t>
      </w:r>
      <w:r>
        <w:rPr>
          <w:b w:val="0"/>
          <w:i w:val="0"/>
        </w:rPr>
        <w:t xml:space="preserve">, del inglés </w:t>
      </w:r>
      <w:r>
        <w:rPr>
          <w:b w:val="0"/>
          <w:i/>
        </w:rPr>
        <w:t>digital satellite news gathering</w:t>
      </w:r>
      <w:r>
        <w:rPr>
          <w:b w:val="0"/>
          <w:i w:val="0"/>
        </w:rPr>
        <w:t>), el foco de haz paralelo</w:t>
      </w:r>
      <w:r>
        <w:t xml:space="preserve"> </w:t>
      </w:r>
      <w:r>
        <w:rPr>
          <w:b w:val="0"/>
          <w:i w:val="0"/>
        </w:rPr>
        <w:t>(</w:t>
      </w:r>
      <w:r>
        <w:rPr>
          <w:b/>
          <w:i w:val="0"/>
        </w:rPr>
        <w:t>PAR</w:t>
      </w:r>
      <w:r>
        <w:rPr>
          <w:b w:val="0"/>
          <w:i w:val="0"/>
        </w:rPr>
        <w:t xml:space="preserve">, del inglés </w:t>
      </w:r>
      <w:r>
        <w:rPr>
          <w:b w:val="0"/>
          <w:i/>
        </w:rPr>
        <w:t>parabolic aluminized reflector</w:t>
      </w:r>
      <w:r>
        <w:rPr>
          <w:b w:val="0"/>
          <w:i w:val="0"/>
        </w:rPr>
        <w:t>), el vídeo a petición por suscripción</w:t>
      </w:r>
      <w:r>
        <w:t xml:space="preserve"> </w:t>
      </w:r>
      <w:r>
        <w:rPr>
          <w:b w:val="0"/>
          <w:i w:val="0"/>
        </w:rPr>
        <w:t>(</w:t>
      </w:r>
      <w:r>
        <w:rPr>
          <w:b/>
          <w:i w:val="0"/>
        </w:rPr>
        <w:t>SVOD</w:t>
      </w:r>
      <w:r>
        <w:rPr>
          <w:b w:val="0"/>
          <w:i w:val="0"/>
        </w:rPr>
        <w:t>), el financiado con publicidad (</w:t>
      </w:r>
      <w:r>
        <w:rPr>
          <w:b/>
          <w:i w:val="0"/>
        </w:rPr>
        <w:t>AVOD</w:t>
      </w:r>
      <w:r>
        <w:rPr>
          <w:b w:val="0"/>
          <w:i w:val="0"/>
        </w:rPr>
        <w:t>), el de pago por transacción (</w:t>
      </w:r>
      <w:r>
        <w:rPr>
          <w:b/>
          <w:i w:val="0"/>
        </w:rPr>
        <w:t>TVOD</w:t>
      </w:r>
      <w:r>
        <w:rPr>
          <w:b w:val="0"/>
          <w:i w:val="0"/>
        </w:rPr>
        <w:t>), los</w:t>
      </w:r>
      <w:r>
        <w:t xml:space="preserve"> </w:t>
      </w:r>
      <w:r>
        <w:rPr>
          <w:b w:val="0"/>
          <w:i w:val="0"/>
        </w:rPr>
        <w:t>canales lineales gratuitos con publicidad distribuidos por internet (</w:t>
      </w:r>
      <w:r>
        <w:rPr>
          <w:b/>
          <w:i w:val="0"/>
        </w:rPr>
        <w:t>FAST</w:t>
      </w:r>
      <w:r>
        <w:rPr>
          <w:b w:val="0"/>
          <w:i w:val="0"/>
        </w:rPr>
        <w:t xml:space="preserve">, del inglés </w:t>
      </w:r>
      <w:r>
        <w:rPr>
          <w:b w:val="0"/>
          <w:i/>
        </w:rPr>
        <w:t>free</w:t>
      </w:r>
      <w:r>
        <w:t xml:space="preserve"> </w:t>
      </w:r>
      <w:r>
        <w:rPr>
          <w:b w:val="0"/>
          <w:i/>
        </w:rPr>
        <w:t>ad-supported streaming television</w:t>
      </w:r>
      <w:r>
        <w:rPr>
          <w:b w:val="0"/>
          <w:i w:val="0"/>
        </w:rPr>
        <w:t>) y el Boletín Oficial del Estado (</w:t>
      </w:r>
      <w:r>
        <w:rPr>
          <w:b/>
          <w:i w:val="0"/>
        </w:rPr>
        <w:t>BOE</w:t>
      </w:r>
      <w:r>
        <w:rPr>
          <w:b w:val="0"/>
          <w:i w:val="0"/>
        </w:rPr>
        <w:t>).</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r>
        <w:rPr>
          <w:b w:val="0"/>
          <w:i w:val="0"/>
        </w:rPr>
      </w:r>
      <w:r>
        <w:rPr>
          <w:b/>
          <w:i w:val="0"/>
        </w:rPr>
        <w:t>Siglas</w:t>
      </w:r>
      <w:r>
        <w:rPr>
          <w:b w:val="0"/>
          <w:i w:val="0"/>
        </w:rPr>
        <w:t>: Visual Basic para Aplicaciones (</w:t>
      </w:r>
      <w:r>
        <w:rPr>
          <w:b/>
          <w:i w:val="0"/>
        </w:rPr>
        <w:t>VBA</w:t>
      </w:r>
      <w:r>
        <w:rPr>
          <w:b w:val="0"/>
          <w:i w:val="0"/>
        </w:rPr>
        <w:t>), el procesamiento analítico</w:t>
      </w:r>
      <w:r>
        <w:t xml:space="preserve"> </w:t>
      </w:r>
      <w:r>
        <w:rPr>
          <w:b w:val="0"/>
          <w:i w:val="0"/>
        </w:rPr>
        <w:t>en línea (</w:t>
      </w:r>
      <w:r>
        <w:rPr>
          <w:b/>
          <w:i w:val="0"/>
        </w:rPr>
        <w:t>OLAP</w:t>
      </w:r>
      <w:r>
        <w:rPr>
          <w:b w:val="0"/>
          <w:i w:val="0"/>
        </w:rPr>
        <w:t xml:space="preserve">, del inglés </w:t>
      </w:r>
      <w:r>
        <w:rPr>
          <w:b w:val="0"/>
          <w:i/>
        </w:rPr>
        <w:t>online analytical processing</w:t>
      </w:r>
      <w:r>
        <w:rPr>
          <w:b w:val="0"/>
          <w:i w:val="0"/>
        </w:rPr>
        <w:t>), el coeficiente de determinación</w:t>
      </w:r>
      <w:r>
        <w:t xml:space="preserve"> </w:t>
      </w:r>
      <w:r>
        <w:rPr>
          <w:b w:val="0"/>
          <w:i w:val="0"/>
        </w:rPr>
        <w:t>(</w:t>
      </w:r>
      <w:r>
        <w:rPr>
          <w:b/>
          <w:i w:val="0"/>
        </w:rPr>
        <w:t>R²</w:t>
      </w:r>
      <w:r>
        <w:rPr>
          <w:b w:val="0"/>
          <w:i w:val="0"/>
        </w:rPr>
        <w:t>) y el Boletín Oficial del Estado (</w:t>
      </w:r>
      <w:r>
        <w:rPr>
          <w:b/>
          <w:i w:val="0"/>
        </w:rPr>
        <w:t>BOE</w:t>
      </w:r>
      <w:r>
        <w:rPr>
          <w:b w:val="0"/>
          <w:i w:val="0"/>
        </w:rPr>
        <w:t>).</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31.1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31.5.1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31.5.2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31.5.3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31.5.4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31.6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31.7.1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31.7.2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31.7.3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31.7.4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31.8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31.8.1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31.8.2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31.8.3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31.9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31.9.1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31.9.2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31.10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31.10.9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31.11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31.13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31.13.1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31.13.2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31.14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31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