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las siete ocupaciones tipo: Producción (Asistencia), Producción, Gestión Administrativa, Gestión, Realización (Asistencia), Documentación e Información y Contenidos</w:t>
      </w:r>
    </w:p>
    <w:p>
      <w:pPr>
        <w:pStyle w:val="Portadadato"/>
      </w:pPr>
      <w:r>
        <w:t>Redacción vigente a 21 de diciembre de 2022</w:t>
      </w:r>
    </w:p>
    <w:p>
      <w:pPr>
        <w:pStyle w:val="Portadadato"/>
      </w:pPr>
      <w:r>
        <w:t>Ocho temas · ocho esquemas de repaso · 503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16.594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w:t>
      </w:r>
      <w:r>
        <w:rPr>
          <w:b/>
          <w:i w:val="0"/>
        </w:rPr>
        <w:t>«Su estructura interna y funcionamiento</w:t>
      </w:r>
      <w:r>
        <w:t xml:space="preserve"> </w:t>
      </w:r>
      <w:r>
        <w:rPr>
          <w:b/>
          <w:i w:val="0"/>
        </w:rPr>
        <w:t>deberán ser democráticos.»</w:t>
      </w:r>
      <w:r>
        <w:rPr>
          <w:b w:val="0"/>
          <w:i w:val="0"/>
        </w:rPr>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ejercicio de las profesiones tituladas, y repite la fórmula del artículo 6:</w:t>
      </w:r>
      <w:r>
        <w:t xml:space="preserve"> </w:t>
      </w:r>
      <w:r>
        <w:rPr>
          <w:b w:val="0"/>
          <w:i w:val="0"/>
        </w:rPr>
      </w:r>
      <w:r>
        <w:rPr>
          <w:b/>
          <w:i w:val="0"/>
        </w:rPr>
        <w:t>«Su estructura interna y funcionamiento deberán ser democráticos.»</w:t>
      </w:r>
      <w:r>
        <w:rPr>
          <w:b w:val="0"/>
          <w:i w:val="0"/>
        </w:rPr>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con la</w:t>
      </w:r>
      <w:r>
        <w:t xml:space="preserve"> </w:t>
      </w:r>
      <w:r>
        <w:rPr>
          <w:b w:val="0"/>
          <w:i w:val="0"/>
        </w:rPr>
        <w:t>abreviatura catalana de la Constitución Española (</w:t>
      </w:r>
      <w:r>
        <w:rPr>
          <w:b/>
          <w:i w:val="0"/>
        </w:rPr>
        <w:t>CE</w:t>
      </w:r>
      <w:r>
        <w:rPr>
          <w:b w:val="0"/>
          <w:i w:val="0"/>
        </w:rPr>
        <w:t xml:space="preserve">), que </w:t>
      </w:r>
      <w:r>
        <w:rPr>
          <w:b/>
          <w:i w:val="0"/>
        </w:rPr>
        <w:t>«l'aplicació de l'article 155</w:t>
      </w:r>
      <w:r>
        <w:t xml:space="preserve"> </w:t>
      </w:r>
      <w:r>
        <w:rPr>
          <w:b/>
          <w:i w:val="0"/>
        </w:rPr>
        <w:t>CE acabava quan el nou Govern de Catalunya prengués possessió»</w:t>
      </w:r>
      <w:r>
        <w:rPr>
          <w:b w:val="0"/>
          <w:i w:val="0"/>
        </w:rPr>
        <w:t>.</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r>
      <w:r>
        <w:rPr>
          <w:b/>
          <w:i w:val="0"/>
        </w:rPr>
        <w:t>Siglas</w:t>
      </w:r>
      <w:r>
        <w:rPr>
          <w:b w:val="0"/>
          <w:i w:val="0"/>
        </w:rPr>
        <w:t>: el Consejo General del Poder Judicial (</w:t>
      </w:r>
      <w:r>
        <w:rPr>
          <w:b/>
          <w:i w:val="0"/>
        </w:rPr>
        <w:t>CGPJ</w:t>
      </w:r>
      <w:r>
        <w:rPr>
          <w:b w:val="0"/>
          <w:i w:val="0"/>
        </w:rPr>
        <w:t>).</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mismas, las iniciativas populares respaldadas por mas de cien mil firmas y los sindicatos mas representativos.</w:t>
      </w:r>
    </w:p>
    <w:p>
      <w:pPr>
        <w:pStyle w:val="Opción"/>
      </w:pPr>
      <w:r>
        <w:t>b) Están legitimados para interponer el recurso de inconstitucionalidad, el Presidente del Gobierno, el Defensor del Pueblo, 150 Diputados, 150 Senadores, los órganos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funciones constitucionales, salvo lo dispuesto para la Regencia.</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cambiar el término y tratamiento a las personas discapacitadas y desarrollar su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La política del Estado respecto a los trabajadores españoles en el extranjero se orientará:</w:t>
      </w:r>
    </w:p>
    <w:p>
      <w:pPr>
        <w:pStyle w:val="Opción"/>
      </w:pPr>
      <w:r>
        <w:t>a) Hacia su igualdad.</w:t>
      </w:r>
    </w:p>
    <w:p>
      <w:pPr>
        <w:pStyle w:val="Opción"/>
      </w:pPr>
      <w:r>
        <w:t>b) Hacia su progreso.</w:t>
      </w:r>
    </w:p>
    <w:p>
      <w:pPr>
        <w:pStyle w:val="Opción"/>
      </w:pPr>
      <w:r>
        <w:t>c) Hacia su regreso.</w:t>
      </w:r>
    </w:p>
    <w:p>
      <w:pPr>
        <w:pStyle w:val="Opción"/>
      </w:pPr>
      <w:r>
        <w:t>d) Hacia su prosperidad.</w:t>
      </w:r>
    </w:p>
    <w:p>
      <w:pPr>
        <w:pStyle w:val="Pregunta"/>
      </w:pPr>
      <w:r>
        <w:rPr>
          <w:rStyle w:val="Númerodepregunta"/>
        </w:rPr>
        <w:t xml:space="preserve">86.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87.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88. </w:t>
      </w:r>
      <w:r>
        <w:rPr>
          <w:b/>
        </w:rPr>
        <w:t>Los partidos políticos expresan:</w:t>
      </w:r>
    </w:p>
    <w:p>
      <w:pPr>
        <w:pStyle w:val="Opción"/>
      </w:pPr>
      <w:r>
        <w:t>a) La democracia alternativa.</w:t>
      </w:r>
    </w:p>
    <w:p>
      <w:pPr>
        <w:pStyle w:val="Opción"/>
      </w:pPr>
      <w:r>
        <w:t>b) El pluralismo social.</w:t>
      </w:r>
    </w:p>
    <w:p>
      <w:pPr>
        <w:pStyle w:val="Opción"/>
      </w:pPr>
      <w:r>
        <w:t>c) El pluralismo político.</w:t>
      </w:r>
    </w:p>
    <w:p>
      <w:pPr>
        <w:pStyle w:val="Opción"/>
      </w:pPr>
      <w:r>
        <w:t>d) La alternancia en el poder.</w:t>
      </w:r>
    </w:p>
    <w:p>
      <w:pPr>
        <w:pStyle w:val="Pregunta"/>
      </w:pPr>
      <w:r>
        <w:rPr>
          <w:rStyle w:val="Númerodepregunta"/>
        </w:rPr>
        <w:t xml:space="preserve">89.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90.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91.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92. </w:t>
      </w:r>
      <w:r>
        <w:rPr>
          <w:b/>
        </w:rPr>
        <w:t>Según el artículo 149 de la Constitución Española, la legislación sobre propiedad intelectual e industrial es:</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93.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94.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95.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96.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97.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98.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99.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100.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101.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102.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103.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104.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105.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106.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107.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108.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109.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110.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111.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112.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113.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114.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115.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116.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117. </w:t>
      </w:r>
      <w:r>
        <w:rPr>
          <w:b/>
        </w:rPr>
        <w:t>La Constitución Española, en su artículo 97 dice que:</w:t>
      </w:r>
    </w:p>
    <w:p>
      <w:pPr>
        <w:pStyle w:val="Opción"/>
      </w:pPr>
      <w:r>
        <w:t>a) El Gobierno dirige la política interior y exterior, la Administración civil y militar y la defensa del Estado.</w:t>
      </w:r>
    </w:p>
    <w:p>
      <w:pPr>
        <w:pStyle w:val="Opción"/>
      </w:pPr>
      <w:r>
        <w:t>b)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118.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119.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120.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121.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Comisión Nacional de los Mercados y la Competencia (</w:t>
      </w:r>
      <w:r>
        <w:rPr>
          <w:b/>
          <w:i w:val="0"/>
        </w:rPr>
        <w:t>CNMC</w:t>
      </w:r>
      <w:r>
        <w:rPr>
          <w:b w:val="0"/>
          <w:i w:val="0"/>
        </w:rPr>
        <w:t>); la Ley de Organización</w:t>
      </w:r>
      <w:r>
        <w:t xml:space="preserve"> </w:t>
      </w:r>
      <w:r>
        <w:rPr>
          <w:b w:val="0"/>
          <w:i w:val="0"/>
        </w:rPr>
        <w:t>y Funcionamiento de la Administración General del Estado (</w:t>
      </w:r>
      <w:r>
        <w:rPr>
          <w:b/>
          <w:i w:val="0"/>
        </w:rPr>
        <w:t>LOFAGE</w:t>
      </w:r>
      <w:r>
        <w:rPr>
          <w:b w:val="0"/>
          <w:i w:val="0"/>
        </w:rPr>
        <w:t xml:space="preserve">), la Ley 6/1997, </w:t>
      </w:r>
      <w:r>
        <w:rPr>
          <w:b/>
          <w:i w:val="0"/>
        </w:rPr>
        <w:t>que este</w:t>
      </w:r>
      <w:r>
        <w:t xml:space="preserve"> </w:t>
      </w:r>
      <w:r>
        <w:rPr>
          <w:b/>
          <w:i w:val="0"/>
        </w:rPr>
        <w:t>artículo cita y que fue derogada</w:t>
      </w:r>
      <w:r>
        <w:rPr>
          <w:b w:val="0"/>
          <w:i w:val="0"/>
        </w:rPr>
        <w:t>; y la Sociedad Estatal de Participaciones Industriales</w:t>
      </w:r>
      <w:r>
        <w:t xml:space="preserve"> </w:t>
      </w:r>
      <w:r>
        <w:rPr>
          <w:b w:val="0"/>
          <w:i w:val="0"/>
        </w:rPr>
        <w:t>(</w:t>
      </w:r>
      <w:r>
        <w:rPr>
          <w:b/>
          <w:i w:val="0"/>
        </w:rPr>
        <w:t>SEPI</w:t>
      </w:r>
      <w:r>
        <w:rPr>
          <w:b w:val="0"/>
          <w:i w:val="0"/>
        </w:rPr>
        <w:t>).</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ejercicio de su función de servicio público, la Corporación RTVE deberá (señale la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Impulsar el intercambio de la información y el conocimiento mutuo entre los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4.524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campañas publicitarias de los patrocinadores de los dos programas de</w:t>
      </w:r>
      <w:r>
        <w:t xml:space="preserve"> </w:t>
      </w:r>
      <w:r>
        <w:rPr>
          <w:b w:val="0"/>
          <w:i w:val="0"/>
        </w:rPr>
        <w:t>patrocinio del deporte olímpico (</w:t>
      </w:r>
      <w:r>
        <w:rPr>
          <w:b/>
          <w:i w:val="0"/>
        </w:rPr>
        <w:t>ADO</w:t>
      </w:r>
      <w:r>
        <w:rPr>
          <w:b w:val="0"/>
          <w:i w:val="0"/>
        </w:rPr>
        <w:t>) y paralímpico (</w:t>
      </w:r>
      <w:r>
        <w:rPr>
          <w:b/>
          <w:i w:val="0"/>
        </w:rPr>
        <w:t>ADOP</w:t>
      </w:r>
      <w:r>
        <w:rPr>
          <w:b w:val="0"/>
          <w:i w:val="0"/>
        </w:rPr>
        <w:t>) —</w:t>
      </w:r>
      <w:r>
        <w:rPr>
          <w:b/>
          <w:i w:val="0"/>
        </w:rPr>
        <w:t>«las campañas</w:t>
      </w:r>
      <w:r>
        <w:t xml:space="preserve"> </w:t>
      </w:r>
      <w:r>
        <w:rPr>
          <w:b/>
          <w:i w:val="0"/>
        </w:rPr>
        <w:t>publicitarias de los patrocinadores del programa ADO y ADOP»</w:t>
      </w:r>
      <w:r>
        <w:rPr>
          <w:b w:val="0"/>
          <w:i w:val="0"/>
        </w:rPr>
        <w:t>, dice la ley—, en</w:t>
      </w:r>
      <w:r>
        <w:t xml:space="preserve"> </w:t>
      </w:r>
      <w:r>
        <w:rPr>
          <w:b w:val="0"/>
          <w:i w:val="0"/>
        </w:rPr>
        <w:t xml:space="preserve">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Siglas</w:t>
      </w:r>
      <w:r>
        <w:rPr>
          <w:b w:val="0"/>
          <w:i w:val="0"/>
        </w:rPr>
        <w:t>: los dos programas de patrocinio del deporte olímpico (</w:t>
      </w:r>
      <w:r>
        <w:rPr>
          <w:b/>
          <w:i w:val="0"/>
        </w:rPr>
        <w:t>ADO</w:t>
      </w:r>
      <w:r>
        <w:rPr>
          <w:b w:val="0"/>
          <w:i w:val="0"/>
        </w:rPr>
        <w:t xml:space="preserve"> y</w:t>
      </w:r>
      <w:r>
        <w:t xml:space="preserve"> </w:t>
      </w:r>
      <w:r>
        <w:rPr>
          <w:b w:val="0"/>
          <w:i w:val="0"/>
        </w:rPr>
      </w:r>
      <w:r>
        <w:rPr>
          <w:b/>
          <w:i w:val="0"/>
        </w:rPr>
        <w:t>ADOP</w:t>
      </w:r>
      <w:r>
        <w:rPr>
          <w:b w:val="0"/>
          <w:i w:val="0"/>
        </w:rPr>
        <w:t>).</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compuesta por largometrajes y cortometrajes cinematográficos, películas para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18.805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documento nacional de identidad (</w:t>
      </w:r>
      <w:r>
        <w:rPr>
          <w:b/>
          <w:i w:val="0"/>
        </w:rPr>
        <w:t>DNI</w:t>
      </w:r>
      <w:r>
        <w:rPr>
          <w:b w:val="0"/>
          <w:i w:val="0"/>
        </w:rPr>
        <w:t>), fecha de nacimiento y matrícula;</w:t>
      </w:r>
      <w:r>
        <w:t xml:space="preserve"> </w:t>
      </w:r>
      <w:r>
        <w:rPr>
          <w:b w:val="0"/>
          <w:i w:val="0"/>
        </w:rPr>
        <w:t>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La lectura automática del BOE —que trabaja contra la interfaz de programación (</w:t>
      </w:r>
      <w:r>
        <w:rPr>
          <w:b/>
          <w:i w:val="0"/>
        </w:rPr>
        <w:t>API</w:t>
      </w:r>
      <w:r>
        <w:rPr>
          <w:b w:val="0"/>
          <w:i w:val="0"/>
        </w:rPr>
        <w:t>) de</w:t>
      </w:r>
      <w:r>
        <w:t xml:space="preserve"> </w:t>
      </w:r>
      <w:r>
        <w:rPr>
          <w:b w:val="0"/>
          <w:i w:val="0"/>
        </w:rPr>
        <w:t xml:space="preserve">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la disposición transitoria (</w:t>
      </w:r>
      <w:r>
        <w:rPr>
          <w:b/>
          <w:i w:val="0"/>
        </w:rPr>
        <w:t>DT</w:t>
      </w:r>
      <w:r>
        <w:rPr>
          <w:b w:val="0"/>
          <w:i w:val="0"/>
        </w:rPr>
        <w:t>); los Presupuestos Generales del Estado (</w:t>
      </w:r>
      <w:r>
        <w:rPr>
          <w:b/>
          <w:i w:val="0"/>
        </w:rPr>
        <w:t>PGE</w:t>
      </w:r>
      <w:r>
        <w:rPr>
          <w:b w:val="0"/>
          <w:i w:val="0"/>
        </w:rPr>
        <w:t>);</w:t>
      </w:r>
      <w:r>
        <w:t xml:space="preserve"> </w:t>
      </w:r>
      <w:r>
        <w:rPr>
          <w:b w:val="0"/>
          <w:i w:val="0"/>
        </w:rPr>
        <w:t>las pantallas de visualización de datos (</w:t>
      </w:r>
      <w:r>
        <w:rPr>
          <w:b/>
          <w:i w:val="0"/>
        </w:rPr>
        <w:t>PVD</w:t>
      </w:r>
      <w:r>
        <w:rPr>
          <w:b w:val="0"/>
          <w:i w:val="0"/>
        </w:rPr>
        <w:t>); la representación legal de las personas</w:t>
      </w:r>
      <w:r>
        <w:t xml:space="preserve"> </w:t>
      </w:r>
      <w:r>
        <w:rPr>
          <w:b w:val="0"/>
          <w:i w:val="0"/>
        </w:rPr>
        <w:t>trabajadoras (</w:t>
      </w:r>
      <w:r>
        <w:rPr>
          <w:b/>
          <w:i w:val="0"/>
        </w:rPr>
        <w:t>RLT</w:t>
      </w:r>
      <w:r>
        <w:rPr>
          <w:b w:val="0"/>
          <w:i w:val="0"/>
        </w:rPr>
        <w:t>); y la Unión Europea de Radiodifusión (</w:t>
      </w:r>
      <w:r>
        <w:rPr>
          <w:b/>
          <w:i w:val="0"/>
        </w:rPr>
        <w:t>UER</w:t>
      </w:r>
      <w:r>
        <w:rPr>
          <w:b w:val="0"/>
          <w:i w:val="0"/>
        </w:rPr>
        <w:t>).</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127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w:t>
      </w:r>
    </w:p>
    <w:p>
      <w:pPr>
        <w:pStyle w:val="Opción"/>
      </w:pPr>
      <w:r>
        <w:t>c) Cada grupo profesional tiene asignado un nivel básico de acceso y niveles complementarios, a los que van asociados las correspondientes retribuciones básicas o complementarias.</w:t>
      </w:r>
    </w:p>
    <w:p>
      <w:pPr>
        <w:pStyle w:val="Opción"/>
      </w:pPr>
      <w:r>
        <w:t>d) Las personas que trabaje a tiempo parcial percibirán sus retribuciones en proporción a la que tuvieran señaladas.</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III Convenio Colectivo de la Corporación RTVE para el disfrute del periodo vacacional retribuido?</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¿Con cuánto tiempo deberá comunicarse al trabajador la modificación del horario de trabajo previamente fijado si  este trabajador tiene el complemento de disponibilidad con las opciones 2 ó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33.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34.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36.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37. </w:t>
      </w:r>
      <w:r>
        <w:rPr>
          <w:b/>
        </w:rPr>
        <w:t>¿Cuántos días de vacaciones adicionales establece el III Convenio Colectivo de la Corporación para las personas que trabajan en Canarias, Baleares, Ceuta y Melilla?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38.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39.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40.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41.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42.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43.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44.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45.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46.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47.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48.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49.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50.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51.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52.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53.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54.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55. </w:t>
      </w:r>
      <w:r>
        <w:rPr>
          <w:b/>
        </w:rPr>
        <w:t>Según el Artículo 102 del III Convenio Colectivo de la CRTVE, podrán solicitar excedencia voluntaria aquellas personas trabajadoras con antigüedad , al menos de:</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56.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57.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58.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59.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60.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61.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62.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63.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65.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66.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67.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68.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69.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70. </w:t>
      </w:r>
      <w:r>
        <w:rPr>
          <w:b/>
        </w:rPr>
        <w:t>¿Cuál es la duración máxima de la comisión de servicio, según el III Convenido Colectivo de RTVE?</w:t>
      </w:r>
    </w:p>
    <w:p>
      <w:pPr>
        <w:pStyle w:val="Opción"/>
      </w:pPr>
      <w:r>
        <w:t>a) Dos meses ininterrumpidos en territorio nacional y 45 días en el extranjero, sin poder ser ampliado en ningún caso.</w:t>
      </w:r>
    </w:p>
    <w:p>
      <w:pPr>
        <w:pStyle w:val="Opción"/>
      </w:pPr>
      <w:r>
        <w:t>b) 45 días ininterrumpidos en territorio nacional, y dos meses en el extranjero, sin poder ser ampliado en ningún caso.</w:t>
      </w:r>
    </w:p>
    <w:p>
      <w:pPr>
        <w:pStyle w:val="Opción"/>
      </w:pPr>
      <w:r>
        <w:t>c) Dos meses ininterrumpidos en territorio nacional y 45 días en el extranjero, pudiéndose ampliar otros 30 días en ambos casos, si por razones de servicio público resultaran insuficientes.</w:t>
      </w:r>
    </w:p>
    <w:p>
      <w:pPr>
        <w:pStyle w:val="Opción"/>
      </w:pPr>
      <w:r>
        <w:t>d) 45 días ininterrumpidos en territorio nacional y dos meses en el extranjero, pudiéndose ampliar otros 30 días en ambos casos, si por razones de servicio público resultaran insuficientes.</w:t>
      </w:r>
    </w:p>
    <w:p>
      <w:pPr>
        <w:pStyle w:val="Pregunta"/>
      </w:pPr>
      <w:r>
        <w:rPr>
          <w:rStyle w:val="Númerodepregunta"/>
        </w:rPr>
        <w:t xml:space="preserve">71. </w:t>
      </w:r>
      <w:r>
        <w:rPr>
          <w:b/>
        </w:rPr>
        <w:t>En cada centro de trabajo, las secciones sindicales de los “sindicatos más representativos” podrán designar delegados y delegadas sindicales. ¿Cuántos delegados/ as habrá para un grupo de 751 a 2.000 trabajadores?.</w:t>
      </w:r>
    </w:p>
    <w:p>
      <w:pPr>
        <w:pStyle w:val="Opción"/>
      </w:pPr>
      <w:r>
        <w:t>a) Once.</w:t>
      </w:r>
    </w:p>
    <w:p>
      <w:pPr>
        <w:pStyle w:val="Opción"/>
      </w:pPr>
      <w:r>
        <w:t>b) Siete.</w:t>
      </w:r>
    </w:p>
    <w:p>
      <w:pPr>
        <w:pStyle w:val="Opción"/>
      </w:pPr>
      <w:r>
        <w:t>c) Cinco.</w:t>
      </w:r>
    </w:p>
    <w:p>
      <w:pPr>
        <w:pStyle w:val="Opción"/>
      </w:pPr>
      <w:r>
        <w:t>d) Cuatro.</w:t>
      </w:r>
    </w:p>
    <w:p>
      <w:pPr>
        <w:pStyle w:val="Pregunta"/>
      </w:pPr>
      <w:r>
        <w:rPr>
          <w:rStyle w:val="Númerodepregunta"/>
        </w:rPr>
        <w:t xml:space="preserve">72.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73.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74.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75.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76.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77.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78. </w:t>
      </w:r>
      <w:r>
        <w:rPr>
          <w:b/>
        </w:rPr>
        <w:t>Según el III Convenio Colectivo de RTVE, ¿qué se garantiza a los trabajadores en términos de igualdad?</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79.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80.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81.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82.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83.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84.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85.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86.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87.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88.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89.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90.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91.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92.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93.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94.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95.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96.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97.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98.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99.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100.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101. </w:t>
      </w:r>
      <w:r>
        <w:rPr>
          <w:b/>
        </w:rPr>
        <w:t>En comisión de servicio, ¿cómo se computan las horas que excedan del total de las horas ordinarias?</w:t>
      </w:r>
    </w:p>
    <w:p>
      <w:pPr>
        <w:pStyle w:val="Opción"/>
      </w:pPr>
      <w:r>
        <w:t>a) No se computan, ya que todas las horas que se hagan ya están reguladas en la propia comisión.</w:t>
      </w:r>
    </w:p>
    <w:p>
      <w:pPr>
        <w:pStyle w:val="Opción"/>
      </w:pPr>
      <w:r>
        <w:t>b) Se consideran como descanso.</w:t>
      </w:r>
    </w:p>
    <w:p>
      <w:pPr>
        <w:pStyle w:val="Opción"/>
      </w:pPr>
      <w:r>
        <w:t>c) Se abonan como horas extraordinarias.</w:t>
      </w:r>
    </w:p>
    <w:p>
      <w:pPr>
        <w:pStyle w:val="Opción"/>
      </w:pPr>
      <w:r>
        <w:t>d) Se hace un cálculo y se descuentan de la comisión para pasarlo al banco de horas.</w:t>
      </w:r>
    </w:p>
    <w:p>
      <w:pPr>
        <w:pStyle w:val="Pregunta"/>
      </w:pPr>
      <w:r>
        <w:rPr>
          <w:rStyle w:val="Númerodepregunta"/>
        </w:rPr>
        <w:t xml:space="preserve">102.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103.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104.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105. </w:t>
      </w:r>
      <w:r>
        <w:rPr>
          <w:b/>
        </w:rPr>
        <w:t>¿Cuál de las siguientes se considera falta grave?</w:t>
      </w:r>
    </w:p>
    <w:p>
      <w:pPr>
        <w:pStyle w:val="Opción"/>
      </w:pPr>
      <w:r>
        <w:t>a) Simular la presencia de otra persona contestando, firmando o fichando por ella la entrada o salida del trabajo o cualquier hoja de control de presencia.</w:t>
      </w:r>
    </w:p>
    <w:p>
      <w:pPr>
        <w:pStyle w:val="Opción"/>
      </w:pPr>
      <w:r>
        <w:t>b) La inasistencia al trabajo, injustificada o sin autorización, de un día en el período de un mes.</w:t>
      </w:r>
    </w:p>
    <w:p>
      <w:pPr>
        <w:pStyle w:val="Opción"/>
      </w:pPr>
      <w:r>
        <w:t>c) No atender a superiores o subordinados con la corrección y diligencias debidas.</w:t>
      </w:r>
    </w:p>
    <w:p>
      <w:pPr>
        <w:pStyle w:val="Opción"/>
      </w:pPr>
      <w:r>
        <w:t>d) Demora injustificada en la ejecución del trabajo a realizar.</w:t>
      </w:r>
    </w:p>
    <w:p>
      <w:pPr>
        <w:pStyle w:val="Pregunta"/>
      </w:pPr>
      <w:r>
        <w:rPr>
          <w:rStyle w:val="Númerodepregunta"/>
        </w:rPr>
        <w:t xml:space="preserve">106. </w:t>
      </w:r>
      <w:r>
        <w:rPr>
          <w:b/>
        </w:rPr>
        <w:t>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w:t>
      </w:r>
    </w:p>
    <w:p>
      <w:pPr>
        <w:pStyle w:val="Pregunta"/>
      </w:pPr>
      <w:r>
        <w:rPr>
          <w:rStyle w:val="Númerodepregunta"/>
        </w:rPr>
        <w:t xml:space="preserve">107. </w:t>
      </w:r>
      <w:r>
        <w:rPr>
          <w:b/>
        </w:rPr>
        <w:t>¿Qué jornada máxima permite desarrollar un complemento de jornada de rodaje?</w:t>
      </w:r>
    </w:p>
    <w:p>
      <w:pPr>
        <w:pStyle w:val="Opción"/>
      </w:pPr>
      <w:r>
        <w:t>a) No hay límite de jornada.</w:t>
      </w:r>
    </w:p>
    <w:p>
      <w:pPr>
        <w:pStyle w:val="Opción"/>
      </w:pPr>
      <w:r>
        <w:t>b) 10 horas.</w:t>
      </w:r>
    </w:p>
    <w:p>
      <w:pPr>
        <w:pStyle w:val="Opción"/>
      </w:pPr>
      <w:r>
        <w:t>c) 15 horas.</w:t>
      </w:r>
    </w:p>
    <w:p>
      <w:pPr>
        <w:pStyle w:val="Opción"/>
      </w:pPr>
      <w:r>
        <w:t>d) 12 horas.</w:t>
      </w:r>
    </w:p>
    <w:p>
      <w:pPr>
        <w:pStyle w:val="Pregunta"/>
      </w:pPr>
      <w:r>
        <w:rPr>
          <w:rStyle w:val="Númerodepregunta"/>
        </w:rPr>
        <w:t xml:space="preserve">108.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 s 8 s 8</w:t>
      </w:r>
    </w:p>
    <w:p>
      <w:pPr>
        <w:pStyle w:val="Pregunta"/>
      </w:pPr>
      <w:r>
        <w:rPr>
          <w:rStyle w:val="Númerodepregunta"/>
        </w:rPr>
        <w:t xml:space="preserve">109.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110.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111. </w:t>
      </w:r>
      <w:r>
        <w:rPr>
          <w:b/>
        </w:rPr>
        <w:t>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w:t>
      </w:r>
    </w:p>
    <w:p>
      <w:pPr>
        <w:pStyle w:val="Pregunta"/>
      </w:pPr>
      <w:r>
        <w:rPr>
          <w:rStyle w:val="Númerodepregunta"/>
        </w:rPr>
        <w:t xml:space="preserve">112. </w:t>
      </w:r>
      <w:r>
        <w:rPr>
          <w:b/>
        </w:rPr>
        <w:t>Según el III Convenio Colectivo de la Corporación de RTVE, la ocupación tipo de realización, ¿pertenece al ámbito ocupacional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113.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114.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115.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116.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117.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118.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119.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120.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121.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122.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123.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124.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125.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126. </w:t>
      </w:r>
      <w:r>
        <w:rPr>
          <w:b/>
        </w:rPr>
        <w:t>¿En qué consiste el complemento de disponibilidad?</w:t>
      </w:r>
    </w:p>
    <w:p>
      <w:pPr>
        <w:pStyle w:val="Opción"/>
      </w:pPr>
      <w:r>
        <w:t>a) Variar la jornada laboral solo cuando se avise con más de 24 horas de antelación.</w:t>
      </w:r>
    </w:p>
    <w:p>
      <w:pPr>
        <w:pStyle w:val="Opción"/>
      </w:pPr>
      <w:r>
        <w:t>b) Requerir disponibilidad habitual y alteraciones constantes de horarios de trabajo.</w:t>
      </w:r>
    </w:p>
    <w:p>
      <w:pPr>
        <w:pStyle w:val="Opción"/>
      </w:pPr>
      <w:r>
        <w:t>c) Aumentar el salario base mensual.</w:t>
      </w:r>
    </w:p>
    <w:p>
      <w:pPr>
        <w:pStyle w:val="Opción"/>
      </w:pPr>
      <w:r>
        <w:t>d) Ofrecer días libres adicionales.</w:t>
      </w:r>
    </w:p>
    <w:p>
      <w:pPr>
        <w:pStyle w:val="Pregunta"/>
      </w:pPr>
      <w:r>
        <w:rPr>
          <w:rStyle w:val="Númerodepregunta"/>
        </w:rPr>
        <w:t xml:space="preserve">127.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r>
      <w:r>
        <w:rPr>
          <w:b/>
          <w:i w:val="0"/>
        </w:rPr>
        <w:t>Siglas</w:t>
      </w:r>
      <w:r>
        <w:rPr>
          <w:b w:val="0"/>
          <w:i w:val="0"/>
        </w:rPr>
        <w:t>: la Organización de las Naciones Unidas (</w:t>
      </w:r>
      <w:r>
        <w:rPr>
          <w:b/>
          <w:i w:val="0"/>
        </w:rPr>
        <w:t>ONU</w:t>
      </w:r>
      <w:r>
        <w:rPr>
          <w:b w:val="0"/>
          <w:i w:val="0"/>
        </w:rPr>
        <w:t>); la Real Academia Española (</w:t>
      </w:r>
      <w:r>
        <w:rPr>
          <w:b/>
          <w:i w:val="0"/>
        </w:rPr>
        <w:t>RAE</w:t>
      </w:r>
      <w:r>
        <w:rPr>
          <w:b w:val="0"/>
          <w:i w:val="0"/>
        </w:rPr>
        <w:t>); y</w:t>
      </w:r>
      <w:r>
        <w:t xml:space="preserve"> </w:t>
      </w:r>
      <w:r>
        <w:rPr>
          <w:b w:val="0"/>
          <w:i w:val="0"/>
        </w:rPr>
        <w:t>el Servicio Interconfederal de Mediación y Arbitraje (</w:t>
      </w:r>
      <w:r>
        <w:rPr>
          <w:b/>
          <w:i w:val="0"/>
        </w:rPr>
        <w:t>SIMA</w:t>
      </w:r>
      <w:r>
        <w:rPr>
          <w:b w:val="0"/>
          <w:i w:val="0"/>
        </w:rPr>
        <w:t>).</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51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Para  el  correcto  tratamiento  informativo  sobre  la  violencia  contra  las  mujeres,  se deberá evitar:</w:t>
      </w:r>
    </w:p>
    <w:p>
      <w:pPr>
        <w:pStyle w:val="Opción"/>
      </w:pPr>
      <w:r>
        <w:t>a) Las sentencias condenatorias.</w:t>
      </w:r>
    </w:p>
    <w:p>
      <w:pPr>
        <w:pStyle w:val="Opción"/>
      </w:pPr>
      <w:r>
        <w:t>b) Explicaciones personales.</w:t>
      </w:r>
    </w:p>
    <w:p>
      <w:pPr>
        <w:pStyle w:val="Opción"/>
      </w:pPr>
      <w:r>
        <w:t>c) Explicaciones convencionales y testimonios de conocidos.</w:t>
      </w:r>
    </w:p>
    <w:p>
      <w:pPr>
        <w:pStyle w:val="Opción"/>
      </w:pPr>
      <w:r>
        <w:t>d) La reconstrucción de los hechos.</w:t>
      </w:r>
    </w:p>
    <w:p>
      <w:pPr>
        <w:pStyle w:val="Pregunta"/>
      </w:pPr>
      <w:r>
        <w:rPr>
          <w:rStyle w:val="Númerodepregunta"/>
        </w:rPr>
        <w:t xml:space="preserve">5.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6.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7.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8.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9.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10.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11.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12.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13.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14.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15. </w:t>
      </w:r>
      <w:r>
        <w:rPr>
          <w:b/>
        </w:rPr>
        <w:t>Según la guía de igualdad de RTVE, indique cual de las respuestas NO es una construcción sexista: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16.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17.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18.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19.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20.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21.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22.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24. </w:t>
      </w:r>
      <w:r>
        <w:rPr>
          <w:b/>
        </w:rPr>
        <w:t>La Guía de Igualdad de la Corporación RTVE define el lenguaje sexista o sexismo lingüístico como aquel que:</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25.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la concienciación y prevenir los comportamientos sexistas.</w:t>
      </w:r>
    </w:p>
    <w:p>
      <w:pPr>
        <w:pStyle w:val="Opción"/>
      </w:pPr>
      <w:r>
        <w:t>c)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26.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27.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28.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29.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30.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31.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32.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33.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34.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35.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36.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37.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38.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39.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40.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41.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42.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43.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44. </w:t>
      </w:r>
      <w:r>
        <w:rPr>
          <w:b/>
        </w:rPr>
        <w:t>¿Qué implica la igualdad de género según Naciones Unidas?</w:t>
      </w:r>
    </w:p>
    <w:p>
      <w:pPr>
        <w:pStyle w:val="Opción"/>
      </w:pPr>
      <w:r>
        <w:t>a) Que hombres y mujeres reciban beneficios diferentes según su rol familiar.</w:t>
      </w:r>
    </w:p>
    <w:p>
      <w:pPr>
        <w:pStyle w:val="Opción"/>
      </w:pPr>
      <w:r>
        <w:t>b) Que se valoren las diferencias físicas entre hombres y mujeres en la toma de decisiones.</w:t>
      </w:r>
    </w:p>
    <w:p>
      <w:pPr>
        <w:pStyle w:val="Opción"/>
      </w:pPr>
      <w:r>
        <w:t>c) Que hombres y mujeres tengan las mismas condiciones, trato y oportunidades.</w:t>
      </w:r>
    </w:p>
    <w:p>
      <w:pPr>
        <w:pStyle w:val="Opción"/>
      </w:pPr>
      <w:r>
        <w:t>d) Que se priorice a las mujeres en sectores tradicionalmente masculinos.</w:t>
      </w:r>
    </w:p>
    <w:p>
      <w:pPr>
        <w:pStyle w:val="Pregunta"/>
      </w:pPr>
      <w:r>
        <w:rPr>
          <w:rStyle w:val="Númerodepregunta"/>
        </w:rPr>
        <w:t xml:space="preserve">45.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w:t>
      </w:r>
    </w:p>
    <w:p>
      <w:pPr>
        <w:pStyle w:val="Pregunta"/>
      </w:pPr>
      <w:r>
        <w:rPr>
          <w:rStyle w:val="Númerodepregunta"/>
        </w:rPr>
        <w:t xml:space="preserve">46. </w:t>
      </w:r>
      <w:r>
        <w:rPr>
          <w:b/>
        </w:rPr>
        <w:t>¿Cuál de las siguientes medidas NO está incluida en el II Plan para la Igualdad entre Mujeres y Hombres en la CRTVE (2022-2026) dentro de las medidas de Conciliación y Corresponsabilidad:</w:t>
      </w:r>
    </w:p>
    <w:p>
      <w:pPr>
        <w:pStyle w:val="Opción"/>
      </w:pPr>
      <w:r>
        <w:t>a) Impulsar el uso de las nuevas tecnologías de la información (video conferencias) para reuniones.</w:t>
      </w:r>
    </w:p>
    <w:p>
      <w:pPr>
        <w:pStyle w:val="Opción"/>
      </w:pPr>
      <w:r>
        <w:t>b) Velar por el respeto al derecho a la desconexión digital fuera del horario laboral.</w:t>
      </w:r>
    </w:p>
    <w:p>
      <w:pPr>
        <w:pStyle w:val="Opción"/>
      </w:pPr>
      <w:r>
        <w:t>c) Estudiar la posibilidad de dotar de escuelas infantiles los centros de Torrespaña, Sant Cugat y Canarias.</w:t>
      </w:r>
    </w:p>
    <w:p>
      <w:pPr>
        <w:pStyle w:val="Opción"/>
      </w:pPr>
      <w:r>
        <w:t>d) Realización de encuestas sobre conciliación y corresponsabilidad.</w:t>
      </w:r>
    </w:p>
    <w:p>
      <w:pPr>
        <w:pStyle w:val="Pregunta"/>
      </w:pPr>
      <w:r>
        <w:rPr>
          <w:rStyle w:val="Númerodepregunta"/>
        </w:rPr>
        <w:t xml:space="preserve">47. </w:t>
      </w:r>
      <w:r>
        <w:rPr>
          <w:b/>
        </w:rPr>
        <w:t>Según la Ley de Igualdad, ¿qué es el principio de presencia equilibrada?</w:t>
      </w:r>
    </w:p>
    <w:p>
      <w:pPr>
        <w:pStyle w:val="Opción"/>
      </w:pPr>
      <w:r>
        <w:t>a) La necesidad de que las mujeres ocupen al menos el 40% de los cargos en los consejos de administración y otros órganos de decisión en las empresas.</w:t>
      </w:r>
    </w:p>
    <w:p>
      <w:pPr>
        <w:pStyle w:val="Opción"/>
      </w:pPr>
      <w:r>
        <w:t>b) La obligación de que el 50% de los empleados de una empresa sean mujeres.</w:t>
      </w:r>
    </w:p>
    <w:p>
      <w:pPr>
        <w:pStyle w:val="Opción"/>
      </w:pPr>
      <w:r>
        <w:t>c) La rotación de empleados en puestos de trabajo para garantizar igualdad de oportunidades.</w:t>
      </w:r>
    </w:p>
    <w:p>
      <w:pPr>
        <w:pStyle w:val="Opción"/>
      </w:pPr>
      <w:r>
        <w:t>d) La imposición de horarios flexibles solo para mujeres trabajadoras.</w:t>
      </w:r>
    </w:p>
    <w:p>
      <w:pPr>
        <w:pStyle w:val="Pregunta"/>
      </w:pPr>
      <w:r>
        <w:rPr>
          <w:rStyle w:val="Númerodepregunta"/>
        </w:rPr>
        <w:t xml:space="preserve">48.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Igualdad y Diversidad y 7 representantes de la parte social.</w:t>
      </w:r>
    </w:p>
    <w:p>
      <w:pPr>
        <w:pStyle w:val="Opción"/>
      </w:pPr>
      <w:r>
        <w:t>d) 6 representantes de la dirección, 5 representantes de la parte social y 2 representantes de la comisión permanente de igualdad del Senado.</w:t>
      </w:r>
    </w:p>
    <w:p>
      <w:pPr>
        <w:pStyle w:val="Pregunta"/>
      </w:pPr>
      <w:r>
        <w:rPr>
          <w:rStyle w:val="Númerodepregunta"/>
        </w:rPr>
        <w:t xml:space="preserve">49.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50.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51.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8.307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los premios del teatro (</w:t>
      </w:r>
      <w:r>
        <w:rPr>
          <w:b/>
          <w:i w:val="0"/>
        </w:rPr>
        <w:t>MAX</w:t>
      </w:r>
      <w:r>
        <w:rPr>
          <w:b w:val="0"/>
          <w:i w:val="0"/>
        </w:rPr>
        <w:t xml:space="preserve">), que la ley nombra como </w:t>
      </w:r>
      <w:r>
        <w:rPr>
          <w:b/>
          <w:i w:val="0"/>
        </w:rPr>
        <w:t>Premios MAX</w:t>
      </w:r>
      <w:r>
        <w:rPr>
          <w:b w:val="0"/>
          <w:i w:val="0"/>
        </w:rPr>
        <w:t xml:space="preserve"> sin que la palabra</w:t>
      </w:r>
      <w:r>
        <w:t xml:space="preserve"> </w:t>
      </w:r>
      <w:r>
        <w:rPr>
          <w:b w:val="0"/>
          <w:i w:val="0"/>
        </w:rPr>
        <w:t>abrevie nada.</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r>
      <w:r>
        <w:rPr>
          <w:b/>
          <w:i w:val="0"/>
        </w:rPr>
        <w:t>Siglas</w:t>
      </w:r>
      <w:r>
        <w:rPr>
          <w:b w:val="0"/>
          <w:i w:val="0"/>
        </w:rPr>
        <w:t>: la Comisión Nacional de los Mercados y la Competencia (</w:t>
      </w:r>
      <w:r>
        <w:rPr>
          <w:b/>
          <w:i w:val="0"/>
        </w:rPr>
        <w:t>CNMC</w:t>
      </w:r>
      <w:r>
        <w:rPr>
          <w:b w:val="0"/>
          <w:i w:val="0"/>
        </w:rPr>
        <w:t>) y la disposición final</w:t>
      </w:r>
      <w:r>
        <w:t xml:space="preserve"> </w:t>
      </w:r>
      <w:r>
        <w:rPr>
          <w:b w:val="0"/>
          <w:i w:val="0"/>
        </w:rPr>
        <w:t>(</w:t>
      </w:r>
      <w:r>
        <w:rPr>
          <w:b/>
          <w:i w:val="0"/>
        </w:rPr>
        <w:t>DF</w:t>
      </w:r>
      <w:r>
        <w:rPr>
          <w:b w:val="0"/>
          <w:i w:val="0"/>
        </w:rPr>
        <w:t>).</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49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logotipo, o cualquier otro símbolo, producto o servicio del patrocinador dentro del programa patrocinado.</w:t>
      </w:r>
    </w:p>
    <w:p>
      <w:pPr>
        <w:pStyle w:val="Opción"/>
      </w:pPr>
      <w:r>
        <w:t>b)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Pluralismo en el mercado de comunicación audiovisual televisivo lineal mediante ondas hertzianas terrestres. Las personas físicas y jurídicas pueden ser titulares simultáneamente de participaciones sociales o derechos de voto en diferentes prestadores del servicio de comunicación audiovisual televisivo. Límites a este principio (señalar la correcta):</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w:t>
      </w:r>
    </w:p>
    <w:p>
      <w:pPr>
        <w:pStyle w:val="Opción"/>
      </w:pPr>
      <w:r>
        <w:t>b) Servicio de comunicación audiovisual que se presta para el montaje alternativo de programas y contenidos audiovisuales sobre la base de una jornada de programación</w:t>
      </w:r>
    </w:p>
    <w:p>
      <w:pPr>
        <w:pStyle w:val="Opción"/>
      </w:pPr>
      <w:r>
        <w:t>c) Servicio de comunicación audiovisual que se presta para el visionado simultáneo de programas y contenidos audiovisuales sobre la base de una jornada de programación</w:t>
      </w:r>
    </w:p>
    <w:p>
      <w:pPr>
        <w:pStyle w:val="Opción"/>
      </w:pPr>
      <w:r>
        <w:t>d) Servicio de comunicación audiovisual que se presta para el visionado simultáneo de programas y contenidos audiovisuales sobre la base de un horario de programación</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Según el artículo 115 de la Ley 13/2022 General de Comunicación Audiovisual, los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servicios de comunicación audiovisual radiofónicos mediante ondas hertzianas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¿Cuáles son las tres franjas de protección reforzada para el público infantil, entendiendo por tal a los menores de trece años, según la Ley General de la Comunicación Audiovisual?</w:t>
      </w:r>
    </w:p>
    <w:p>
      <w:pPr>
        <w:pStyle w:val="Opción"/>
      </w:pPr>
      <w:r>
        <w:t>a) Desde las 6 hasta las 22 horas.</w:t>
      </w:r>
    </w:p>
    <w:p>
      <w:pPr>
        <w:pStyle w:val="Opción"/>
      </w:pPr>
      <w:r>
        <w:t>b) Entre las 8 y las 9 horas y entre las 17 y las 20.</w:t>
      </w:r>
    </w:p>
    <w:p>
      <w:pPr>
        <w:pStyle w:val="Opción"/>
      </w:pPr>
      <w:r>
        <w:t>c) Entre las 8 y las 9 horas y entre las 17 y las 20 horas en días laborables y entre las 9 y las 12 horas los días 1 y 6 de enero, Viernes Santo, 1 de mayo, 12 de octubre, 1 de noviembre y 6,8 y 25 de diciembre.</w:t>
      </w:r>
    </w:p>
    <w:p>
      <w:pPr>
        <w:pStyle w:val="Opción"/>
      </w:pPr>
      <w:r>
        <w:t>d) Entre las 8 y las 9 horas y entre las 17 y las 20 horas en días laborables y entre las 9 y las 12 horas sábados, domingos y fiestas de ámbito estatal.</w:t>
      </w:r>
    </w:p>
    <w:p>
      <w:pPr>
        <w:pStyle w:val="Pregunta"/>
      </w:pPr>
      <w:r>
        <w:rPr>
          <w:rStyle w:val="Númerodepregunta"/>
        </w:rPr>
        <w:t xml:space="preserve">48. </w:t>
      </w:r>
      <w:r>
        <w:rPr>
          <w:b/>
        </w:rPr>
        <w:t>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w:t>
      </w:r>
    </w:p>
    <w:p>
      <w:pPr>
        <w:pStyle w:val="Opción"/>
      </w:pPr>
      <w:r>
        <w:t>d) 10%.</w:t>
      </w:r>
    </w:p>
    <w:p>
      <w:pPr>
        <w:pStyle w:val="Pregunta"/>
      </w:pPr>
      <w:r>
        <w:rPr>
          <w:rStyle w:val="Númerodepregunta"/>
        </w:rPr>
        <w:t xml:space="preserve">49. </w:t>
      </w:r>
      <w:r>
        <w:rPr>
          <w:b/>
        </w:rPr>
        <w:t>Según la LGCA, ¿qué se entiende por SCAV en abierto o codificado?</w:t>
      </w:r>
    </w:p>
    <w:p>
      <w:pPr>
        <w:pStyle w:val="Opción"/>
      </w:pPr>
      <w:r>
        <w:t>a) Abierto: cuya emisión es libre, Codificado: cuya recepción debe ser libre por el prestador.</w:t>
      </w:r>
    </w:p>
    <w:p>
      <w:pPr>
        <w:pStyle w:val="Opción"/>
      </w:pPr>
      <w:r>
        <w:t>b) Abierto: cuya emisión es pública, Codificado: cuya recepción debe ser garantizada por el prestador.</w:t>
      </w:r>
    </w:p>
    <w:p>
      <w:pPr>
        <w:pStyle w:val="Opción"/>
      </w:pPr>
      <w:r>
        <w:t>c) Abierto: cuya recepción es libre, Codificado: cuya recepción debe ser garantizada por el prestador.</w:t>
      </w:r>
    </w:p>
    <w:p>
      <w:pPr>
        <w:pStyle w:val="Opción"/>
      </w:pPr>
      <w:r>
        <w:t>d) Abierto: cuya recepción es pública, Codificado: cuya recepción debe ser autorizada por el prestador.</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16.261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La empresa de trabajo temporal (</w:t>
      </w:r>
      <w:r>
        <w:rPr>
          <w:b/>
          <w:i w:val="0"/>
        </w:rPr>
        <w:t>ETT</w:t>
      </w:r>
      <w:r>
        <w:rPr>
          <w:b w:val="0"/>
          <w:i w:val="0"/>
        </w:rPr>
        <w:t>) se abrevia así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w:t>
            </w:r>
            <w:r>
              <w:rPr>
                <w:b/>
                <w:i w:val="0"/>
              </w:rPr>
              <w:t>FSP</w:t>
            </w:r>
            <w:r>
              <w:rPr>
                <w:b w:val="0"/>
                <w:i w:val="0"/>
              </w:rPr>
              <w:t xml:space="preserve"> en el uso corriente)</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r>
      <w:r>
        <w:rPr>
          <w:b/>
          <w:i w:val="0"/>
        </w:rPr>
        <w:t>Siglas</w:t>
      </w:r>
      <w:r>
        <w:rPr>
          <w:b w:val="0"/>
          <w:i w:val="0"/>
        </w:rPr>
        <w:t>: la Constitución Española (</w:t>
      </w:r>
      <w:r>
        <w:rPr>
          <w:b/>
          <w:i w:val="0"/>
        </w:rPr>
        <w:t>CE</w:t>
      </w:r>
      <w:r>
        <w:rPr>
          <w:b w:val="0"/>
          <w:i w:val="0"/>
        </w:rPr>
        <w:t>) y la Fundación Estatal para la Prevención de Riesgos</w:t>
      </w:r>
      <w:r>
        <w:t xml:space="preserve"> </w:t>
      </w:r>
      <w:r>
        <w:rPr>
          <w:b w:val="0"/>
          <w:i w:val="0"/>
        </w:rPr>
        <w:t>Laborales (</w:t>
      </w:r>
      <w:r>
        <w:rPr>
          <w:b/>
          <w:i w:val="0"/>
        </w:rPr>
        <w:t>FSP</w:t>
      </w:r>
      <w:r>
        <w:rPr>
          <w:b w:val="0"/>
          <w:i w:val="0"/>
        </w:rPr>
        <w:t xml:space="preserve"> en el uso corriente).</w:t>
      </w:r>
    </w:p>
    <w:p>
      <w:pPr/>
      <w:r>
        <w:rPr>
          <w:b w:val="0"/>
          <w:i w:val="0"/>
        </w:rPr>
        <w:t>Esqueleto para repasar. Todo desarrollado y verificado en el tema.</w:t>
      </w:r>
    </w:p>
    <w:p>
      <w:pPr/>
      <w:r>
        <w:rPr>
          <w:b w:val="0"/>
          <w:i w:val="0"/>
        </w:rPr>
      </w:r>
      <w:r>
        <w:rPr>
          <w:b/>
          <w:i w:val="0"/>
        </w:rPr>
        <w:t>Siglas</w:t>
      </w:r>
      <w:r>
        <w:rPr>
          <w:b w:val="0"/>
          <w:i w:val="0"/>
        </w:rPr>
        <w:t>: la empresa de trabajo temporal (</w:t>
      </w:r>
      <w:r>
        <w:rPr>
          <w:b/>
          <w:i w:val="0"/>
        </w:rPr>
        <w:t>ETT</w:t>
      </w:r>
      <w:r>
        <w:rPr>
          <w:b w:val="0"/>
          <w:i w:val="0"/>
        </w:rPr>
        <w:t>).</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67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instrumento o instalación utilizada en el trabajo y que provoque peligro para la vida del trabajador.</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jerárquico directo, y a los trabajadores designados para realizar actividades de protección y de prevención o, en su caso, al servicio de prevención.</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Entendemos por daños derivados del trabajo:</w:t>
      </w:r>
    </w:p>
    <w:p>
      <w:pPr>
        <w:pStyle w:val="Opción"/>
      </w:pPr>
      <w:r>
        <w:t>a) Los daños, accidentes o enfermedades sufridas con motivo u ocasión del trabajo.</w:t>
      </w:r>
    </w:p>
    <w:p>
      <w:pPr>
        <w:pStyle w:val="Opción"/>
      </w:pPr>
      <w:r>
        <w:t>b) Las lesiones, accidentes o patologías sufridas con motivo u ocasión del trabajo.</w:t>
      </w:r>
    </w:p>
    <w:p>
      <w:pPr>
        <w:pStyle w:val="Opción"/>
      </w:pPr>
      <w:r>
        <w:t>c) Las enfermedades, patologías o lesiones sufridas con motivo u ocasión del trabajo.</w:t>
      </w:r>
    </w:p>
    <w:p>
      <w:pPr>
        <w:pStyle w:val="Opción"/>
      </w:pPr>
      <w:r>
        <w:t>d) Las enfermedades, patologías o lesiones sufridas en el desarrollo continuado del trabajo.</w:t>
      </w:r>
    </w:p>
    <w:p>
      <w:pPr>
        <w:pStyle w:val="Pregunta"/>
      </w:pPr>
      <w:r>
        <w:rPr>
          <w:rStyle w:val="Númerodepregunta"/>
        </w:rPr>
        <w:t xml:space="preserve">32.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33. </w:t>
      </w:r>
      <w:r>
        <w:rPr>
          <w:b/>
        </w:rPr>
        <w:t>¿Cuál de los siguiente es un deber del trabajador en materia de riesgos laborales?</w:t>
      </w:r>
    </w:p>
    <w:p>
      <w:pPr>
        <w:pStyle w:val="Opción"/>
      </w:pPr>
      <w:r>
        <w:t>a) Contribuir al cumplimiento de las obligaciones establecidas por la autoridad competente.</w:t>
      </w:r>
    </w:p>
    <w:p>
      <w:pPr>
        <w:pStyle w:val="Opción"/>
      </w:pPr>
      <w:r>
        <w:t>b)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34.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35.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36.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37.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38.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39.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40.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41.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42.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43.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44.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45.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46.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47.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48.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49.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50.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51.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52.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53.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54.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55.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56.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57.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58.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59.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60.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61.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62.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63.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64. </w:t>
      </w:r>
      <w:r>
        <w:rPr>
          <w:b/>
        </w:rPr>
        <w:t>Según la Ley 31/1995, de 8 de noviembre, de prevención de Riesgos Laborales, la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65.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las medidas que crean necesarias.</w:t>
      </w:r>
    </w:p>
    <w:p>
      <w:pPr>
        <w:pStyle w:val="Opción"/>
      </w:pPr>
      <w:r>
        <w:t>d) Sustituir lo peligroso por lo que entrañe poco o ningún peligro.</w:t>
      </w:r>
    </w:p>
    <w:p>
      <w:pPr>
        <w:pStyle w:val="Pregunta"/>
      </w:pPr>
      <w:r>
        <w:rPr>
          <w:rStyle w:val="Númerodepregunta"/>
        </w:rPr>
        <w:t xml:space="preserve">66.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67.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90: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shd w:val="clear" w:color="auto" w:fill="E4E4E4"/>
          </w:tcPr>
          <w:p>
            <w:pPr>
              <w:pStyle w:val="Tabla"/>
            </w:pPr>
            <w:r/>
            <w:r>
              <w:rPr>
                <w:b w:val="0"/>
                <w:i w:val="0"/>
              </w:rPr>
            </w:r>
            <w:r>
              <w:rPr>
                <w:b/>
                <w:i w:val="0"/>
              </w:rPr>
              <w:t>122</w:t>
            </w:r>
            <w:r>
              <w:rPr>
                <w:b w:val="0"/>
                <w:i w:val="0"/>
              </w:rPr>
            </w:r>
          </w:p>
        </w:tc>
        <w:tc>
          <w:tcPr>
            <w:tcW w:type="dxa" w:w="941"/>
            <w:shd w:val="clear" w:color="auto" w:fill="E4E4E4"/>
          </w:tcPr>
          <w:p>
            <w:pPr>
              <w:pStyle w:val="Tabla"/>
            </w:pPr>
            <w:r/>
            <w:r>
              <w:rPr>
                <w:b w:val="0"/>
                <w:i w:val="0"/>
              </w:rPr>
            </w:r>
            <w:r>
              <w:rPr>
                <w:b/>
                <w:i w:val="0"/>
              </w:rPr>
              <w:t>123</w:t>
            </w:r>
            <w:r>
              <w:rPr>
                <w:b w:val="0"/>
                <w:i w:val="0"/>
              </w:rPr>
            </w:r>
          </w:p>
        </w:tc>
        <w:tc>
          <w:tcPr>
            <w:tcW w:type="dxa" w:w="941"/>
            <w:shd w:val="clear" w:color="auto" w:fill="E4E4E4"/>
          </w:tcPr>
          <w:p>
            <w:pPr>
              <w:pStyle w:val="Tabla"/>
            </w:pPr>
            <w:r/>
            <w:r>
              <w:rPr>
                <w:b w:val="0"/>
                <w:i w:val="0"/>
              </w:rPr>
            </w:r>
            <w:r>
              <w:rPr>
                <w:b/>
                <w:i w:val="0"/>
              </w:rPr>
              <w:t>124</w:t>
            </w:r>
            <w:r>
              <w:rPr>
                <w:b w:val="0"/>
                <w:i w:val="0"/>
              </w:rPr>
            </w:r>
          </w:p>
        </w:tc>
        <w:tc>
          <w:tcPr>
            <w:tcW w:type="dxa" w:w="941"/>
            <w:shd w:val="clear" w:color="auto" w:fill="E4E4E4"/>
          </w:tcPr>
          <w:p>
            <w:pPr>
              <w:pStyle w:val="Tabla"/>
            </w:pPr>
            <w:r/>
            <w:r>
              <w:rPr>
                <w:b w:val="0"/>
                <w:i w:val="0"/>
              </w:rPr>
            </w:r>
            <w:r>
              <w:rPr>
                <w:b/>
                <w:i w:val="0"/>
              </w:rPr>
              <w:t>125</w:t>
            </w:r>
            <w:r>
              <w:rPr>
                <w:b w:val="0"/>
                <w:i w:val="0"/>
              </w:rPr>
            </w:r>
          </w:p>
        </w:tc>
        <w:tc>
          <w:tcPr>
            <w:tcW w:type="dxa" w:w="941"/>
            <w:shd w:val="clear" w:color="auto" w:fill="E4E4E4"/>
          </w:tcPr>
          <w:p>
            <w:pPr>
              <w:pStyle w:val="Tabla"/>
            </w:pPr>
            <w:r/>
            <w:r>
              <w:rPr>
                <w:b w:val="0"/>
                <w:i w:val="0"/>
              </w:rPr>
            </w:r>
            <w:r>
              <w:rPr>
                <w:b/>
                <w:i w:val="0"/>
              </w:rPr>
              <w:t>126</w:t>
            </w:r>
            <w:r>
              <w:rPr>
                <w:b w:val="0"/>
                <w:i w:val="0"/>
              </w:rPr>
            </w:r>
          </w:p>
        </w:tc>
        <w:tc>
          <w:tcPr>
            <w:tcW w:type="dxa" w:w="941"/>
            <w:shd w:val="clear" w:color="auto" w:fill="E4E4E4"/>
          </w:tcPr>
          <w:p>
            <w:pPr>
              <w:pStyle w:val="Tabla"/>
            </w:pPr>
            <w:r/>
            <w:r>
              <w:rPr>
                <w:b w:val="0"/>
                <w:i w:val="0"/>
              </w:rPr>
            </w:r>
            <w:r>
              <w:rPr>
                <w:b/>
                <w:i w:val="0"/>
              </w:rPr>
              <w:t>127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60: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