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209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cuándo’ de María Elena Morán.</w:t>
      </w:r>
    </w:p>
    <w:p>
      <w:pPr>
        <w:pStyle w:val="Opción"/>
      </w:pPr>
      <w:r>
        <w:t>c) ‘Antes de que llegue el olvido’ de Ana Rodríguez Fischer y, finalista, ‘Volver Ganadora, llegado’ de Antonio Fontana. ‘Los nombres prestados’ de Alexis Ravelo y, finalista, ‘Hasta aquí hemos</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provenientes de China, ¿cuál de estos productos está afectado? la Unión Europea estableció nuevos aranceles a productos</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medioambiente. las condiciones de las actividades agrícolas perjudiciales con el</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la información sobre su vida privada se obtiene a través de personas o medios Si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11.6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