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123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Boletín Oficial del</w:t>
      </w:r>
      <w:r>
        <w:t xml:space="preserve"> </w:t>
      </w:r>
      <w:r>
        <w:rPr>
          <w:b w:val="0"/>
          <w:i w:val="0"/>
        </w:rPr>
        <w:t>Estado (</w:t>
      </w:r>
      <w:r>
        <w:rPr>
          <w:b/>
          <w:i w:val="0"/>
        </w:rPr>
        <w:t>BOE</w:t>
      </w:r>
      <w:r>
        <w:rPr>
          <w:b w:val="0"/>
          <w:i w:val="0"/>
        </w:rPr>
        <w:t>), el real decreto legislativo (</w:t>
      </w:r>
      <w:r>
        <w:rPr>
          <w:b/>
          <w:i w:val="0"/>
        </w:rPr>
        <w:t>RDLeg</w:t>
      </w:r>
      <w:r>
        <w:rPr>
          <w:b w:val="0"/>
          <w:i w:val="0"/>
        </w:rPr>
        <w:t>), el real decreto-ley (</w:t>
      </w:r>
      <w:r>
        <w:rPr>
          <w:b/>
          <w:i w:val="0"/>
        </w:rPr>
        <w:t>RDL</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expediente de</w:t>
      </w:r>
      <w:r>
        <w:t xml:space="preserve"> </w:t>
      </w:r>
      <w:r>
        <w:rPr>
          <w:b w:val="0"/>
          <w:i w:val="0"/>
        </w:rPr>
        <w:t>regulación temporal de empleo (</w:t>
      </w:r>
      <w:r>
        <w:rPr>
          <w:b/>
          <w:i w:val="0"/>
        </w:rPr>
        <w:t>ERTE</w:t>
      </w:r>
      <w:r>
        <w:rPr>
          <w:b w:val="0"/>
          <w:i w:val="0"/>
        </w:rPr>
        <w:t>) y el Servicio Público de Empleo Estatal (</w:t>
      </w:r>
      <w:r>
        <w:rPr>
          <w:b/>
          <w:i w:val="0"/>
        </w:rPr>
        <w:t>SEPE</w:t>
      </w:r>
      <w:r>
        <w:rPr>
          <w:b w:val="0"/>
          <w:i w:val="0"/>
        </w:rPr>
        <w:t>).</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el real decreto</w:t>
      </w:r>
      <w:r>
        <w:t xml:space="preserve"> </w:t>
      </w:r>
      <w:r>
        <w:rPr>
          <w:b w:val="0"/>
          <w:i w:val="0"/>
        </w:rPr>
        <w:t>legislativo (</w:t>
      </w:r>
      <w:r>
        <w:rPr>
          <w:b/>
          <w:i w:val="0"/>
        </w:rPr>
        <w:t>RDLeg</w:t>
      </w:r>
      <w:r>
        <w:rPr>
          <w:b w:val="0"/>
          <w:i w:val="0"/>
        </w:rPr>
        <w:t>), el real decreto (</w:t>
      </w:r>
      <w:r>
        <w:rPr>
          <w:b/>
          <w:i w:val="0"/>
        </w:rPr>
        <w:t>RD</w:t>
      </w:r>
      <w:r>
        <w:rPr>
          <w:b w:val="0"/>
          <w:i w:val="0"/>
        </w:rPr>
        <w:t>), el Boletín Oficial del Estado (</w:t>
      </w:r>
      <w:r>
        <w:rPr>
          <w:b/>
          <w:i w:val="0"/>
        </w:rPr>
        <w:t>BOE</w:t>
      </w:r>
      <w:r>
        <w:rPr>
          <w:b w:val="0"/>
          <w:i w:val="0"/>
        </w:rPr>
        <w:t>), la</w:t>
      </w:r>
      <w:r>
        <w:t xml:space="preserve"> </w:t>
      </w:r>
      <w:r>
        <w:rPr>
          <w:b w:val="0"/>
          <w:i w:val="0"/>
        </w:rPr>
        <w:t>Tesorería General de la Seguridad Social (</w:t>
      </w:r>
      <w:r>
        <w:rPr>
          <w:b/>
          <w:i w:val="0"/>
        </w:rPr>
        <w:t>TGSS</w:t>
      </w:r>
      <w:r>
        <w:rPr>
          <w:b w:val="0"/>
          <w:i w:val="0"/>
        </w:rPr>
        <w:t>), el Instituto Nacional de la Seguridad Social</w:t>
      </w:r>
      <w:r>
        <w:t xml:space="preserve"> </w:t>
      </w:r>
      <w:r>
        <w:rPr>
          <w:b w:val="0"/>
          <w:i w:val="0"/>
        </w:rPr>
        <w:t>(</w:t>
      </w:r>
      <w:r>
        <w:rPr>
          <w:b/>
          <w:i w:val="0"/>
        </w:rPr>
        <w:t>INSS</w:t>
      </w:r>
      <w:r>
        <w:rPr>
          <w:b w:val="0"/>
          <w:i w:val="0"/>
        </w:rPr>
        <w:t>), el salario mínimo interprofesional (</w:t>
      </w:r>
      <w:r>
        <w:rPr>
          <w:b/>
          <w:i w:val="0"/>
        </w:rPr>
        <w:t>SMI</w:t>
      </w:r>
      <w:r>
        <w:rPr>
          <w:b w:val="0"/>
          <w:i w:val="0"/>
        </w:rPr>
        <w:t>), la incapacidad temporal (</w:t>
      </w:r>
      <w:r>
        <w:rPr>
          <w:b/>
          <w:i w:val="0"/>
        </w:rPr>
        <w:t>IT</w:t>
      </w:r>
      <w:r>
        <w:rPr>
          <w:b w:val="0"/>
          <w:i w:val="0"/>
        </w:rPr>
        <w:t>) y el</w:t>
      </w:r>
      <w:r>
        <w:t xml:space="preserve"> </w:t>
      </w:r>
      <w:r>
        <w:rPr>
          <w:b w:val="0"/>
          <w:i w:val="0"/>
        </w:rPr>
        <w:t>Fondo de Garantía Salarial (</w:t>
      </w:r>
      <w:r>
        <w:rPr>
          <w:b/>
          <w:i w:val="0"/>
        </w:rPr>
        <w:t>FOGASA</w:t>
      </w:r>
      <w:r>
        <w:rPr>
          <w:b w:val="0"/>
          <w:i w:val="0"/>
        </w:rPr>
        <w:t>).</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y el real decreto legislativo (</w:t>
      </w:r>
      <w:r>
        <w:rPr>
          <w:b/>
          <w:i w:val="0"/>
        </w:rPr>
        <w:t>RDLeg</w:t>
      </w:r>
      <w:r>
        <w:rPr>
          <w:b w:val="0"/>
          <w:i w:val="0"/>
        </w:rPr>
        <w:t>).</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r>
        <w:rPr>
          <w:b w:val="0"/>
          <w:i w:val="0"/>
        </w:rPr>
      </w:r>
      <w:r>
        <w:rPr>
          <w:b/>
          <w:i w:val="0"/>
        </w:rPr>
        <w:t>Siglas</w:t>
      </w:r>
      <w:r>
        <w:rPr>
          <w:b w:val="0"/>
          <w:i w:val="0"/>
        </w:rPr>
        <w:t>: unidad central de proceso (</w:t>
      </w:r>
      <w:r>
        <w:rPr>
          <w:b/>
          <w:i w:val="0"/>
        </w:rPr>
        <w:t>CPU</w:t>
      </w:r>
      <w:r>
        <w:rPr>
          <w:b w:val="0"/>
          <w:i w:val="0"/>
        </w:rPr>
        <w:t>), memoria de acceso aleatorio</w:t>
      </w:r>
      <w:r>
        <w:t xml:space="preserve"> </w:t>
      </w:r>
      <w:r>
        <w:rPr>
          <w:b w:val="0"/>
          <w:i w:val="0"/>
        </w:rPr>
        <w:t>(</w:t>
      </w:r>
      <w:r>
        <w:rPr>
          <w:b/>
          <w:i w:val="0"/>
        </w:rPr>
        <w:t>RAM</w:t>
      </w:r>
      <w:r>
        <w:rPr>
          <w:b w:val="0"/>
          <w:i w:val="0"/>
        </w:rPr>
        <w:t>), memoria de sólo lectura (</w:t>
      </w:r>
      <w:r>
        <w:rPr>
          <w:b/>
          <w:i w:val="0"/>
        </w:rPr>
        <w:t>ROM</w:t>
      </w:r>
      <w:r>
        <w:rPr>
          <w:b w:val="0"/>
          <w:i w:val="0"/>
        </w:rPr>
        <w:t>), unidad de estado sólido (</w:t>
      </w:r>
      <w:r>
        <w:rPr>
          <w:b/>
          <w:i w:val="0"/>
        </w:rPr>
        <w:t>SSD</w:t>
      </w:r>
      <w:r>
        <w:rPr>
          <w:b w:val="0"/>
          <w:i w:val="0"/>
        </w:rPr>
        <w:t>), unidad de disco</w:t>
      </w:r>
      <w:r>
        <w:t xml:space="preserve"> </w:t>
      </w:r>
      <w:r>
        <w:rPr>
          <w:b w:val="0"/>
          <w:i w:val="0"/>
        </w:rPr>
        <w:t>duro (</w:t>
      </w:r>
      <w:r>
        <w:rPr>
          <w:b/>
          <w:i w:val="0"/>
        </w:rPr>
        <w:t>HDD</w:t>
      </w:r>
      <w:r>
        <w:rPr>
          <w:b w:val="0"/>
          <w:i w:val="0"/>
        </w:rPr>
        <w:t>), sistema operativo (</w:t>
      </w:r>
      <w:r>
        <w:rPr>
          <w:b/>
          <w:i w:val="0"/>
        </w:rPr>
        <w:t>SO</w:t>
      </w:r>
      <w:r>
        <w:rPr>
          <w:b w:val="0"/>
          <w:i w:val="0"/>
        </w:rPr>
        <w:t>), entrada y salida (</w:t>
      </w:r>
      <w:r>
        <w:rPr>
          <w:b/>
          <w:i w:val="0"/>
        </w:rPr>
        <w:t>E/S</w:t>
      </w:r>
      <w:r>
        <w:rPr>
          <w:b w:val="0"/>
          <w:i w:val="0"/>
        </w:rPr>
        <w:t>), red de área local (</w:t>
      </w:r>
      <w:r>
        <w:rPr>
          <w:b/>
          <w:i w:val="0"/>
        </w:rPr>
        <w:t>LAN</w:t>
      </w:r>
      <w:r>
        <w:rPr>
          <w:b w:val="0"/>
          <w:i w:val="0"/>
        </w:rPr>
        <w:t>),</w:t>
      </w:r>
      <w:r>
        <w:t xml:space="preserve"> </w:t>
      </w:r>
      <w:r>
        <w:rPr>
          <w:b w:val="0"/>
          <w:i w:val="0"/>
        </w:rPr>
        <w:t>copia de seguridad (</w:t>
      </w:r>
      <w:r>
        <w:rPr>
          <w:b w:val="0"/>
          <w:i/>
        </w:rPr>
        <w:t>backup</w:t>
      </w:r>
      <w:r>
        <w:rPr>
          <w:b w:val="0"/>
          <w:i w:val="0"/>
        </w:rPr>
        <w:t>), la Agencia Española de Protección de Datos (</w:t>
      </w:r>
      <w:r>
        <w:rPr>
          <w:b/>
          <w:i w:val="0"/>
        </w:rPr>
        <w:t>AEPD</w:t>
      </w:r>
      <w:r>
        <w:rPr>
          <w:b w:val="0"/>
          <w:i w:val="0"/>
        </w:rPr>
        <w:t>), el sistema de</w:t>
      </w:r>
      <w:r>
        <w:t xml:space="preserve"> </w:t>
      </w:r>
      <w:r>
        <w:rPr>
          <w:b w:val="0"/>
          <w:i w:val="0"/>
        </w:rPr>
        <w:t>archivos de nueva tecnología (</w:t>
      </w:r>
      <w:r>
        <w:rPr>
          <w:b/>
          <w:i w:val="0"/>
        </w:rPr>
        <w:t>NTFS</w:t>
      </w:r>
      <w:r>
        <w:rPr>
          <w:b w:val="0"/>
          <w:i w:val="0"/>
        </w:rPr>
        <w:t>), la tabla de asignación de archivos (</w:t>
      </w:r>
      <w:r>
        <w:rPr>
          <w:b/>
          <w:i w:val="0"/>
        </w:rPr>
        <w:t>FAT</w:t>
      </w:r>
      <w:r>
        <w:rPr>
          <w:b w:val="0"/>
          <w:i w:val="0"/>
        </w:rPr>
        <w:t>, de donde salen</w:t>
      </w:r>
      <w:r>
        <w:t xml:space="preserve"> </w:t>
      </w:r>
      <w:r>
        <w:rPr>
          <w:b w:val="0"/>
          <w:i w:val="0"/>
        </w:rPr>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 (</w:t>
      </w:r>
      <w:r>
        <w:rPr>
          <w:b/>
          <w:i w:val="0"/>
        </w:rPr>
        <w:t>CD</w:t>
      </w:r>
      <w:r>
        <w:rPr>
          <w:b w:val="0"/>
          <w:i w:val="0"/>
        </w:rPr>
        <w:t>), el</w:t>
      </w:r>
      <w:r>
        <w:t xml:space="preserve"> </w:t>
      </w:r>
      <w:r>
        <w:rPr>
          <w:b w:val="0"/>
          <w:i w:val="0"/>
        </w:rPr>
        <w:t>disco versátil digital (</w:t>
      </w:r>
      <w:r>
        <w:rPr>
          <w:b/>
          <w:i w:val="0"/>
        </w:rPr>
        <w:t>DVD</w:t>
      </w:r>
      <w:r>
        <w:rPr>
          <w:b w:val="0"/>
          <w:i w:val="0"/>
        </w:rPr>
        <w:t>) y el servicio de mensajes cortos (</w:t>
      </w:r>
      <w:r>
        <w:rPr>
          <w:b/>
          <w:i w:val="0"/>
        </w:rPr>
        <w:t>SMS</w:t>
      </w:r>
      <w:r>
        <w:rPr>
          <w:b w:val="0"/>
          <w:i w:val="0"/>
        </w:rPr>
        <w:t>).</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r>
        <w:rPr>
          <w:b w:val="0"/>
          <w:i w:val="0"/>
        </w:rPr>
      </w:r>
      <w:r>
        <w:rPr>
          <w:b/>
          <w:i w:val="0"/>
        </w:rPr>
        <w:t>Siglas</w:t>
      </w:r>
      <w:r>
        <w:rPr>
          <w:b w:val="0"/>
          <w:i w:val="0"/>
        </w:rPr>
        <w:t>: protocolo de control de transmisión y protocolo de internet</w:t>
      </w:r>
      <w:r>
        <w:t xml:space="preserve"> </w:t>
      </w:r>
      <w:r>
        <w:rPr>
          <w:b w:val="0"/>
          <w:i w:val="0"/>
        </w:rPr>
        <w:t>(</w:t>
      </w:r>
      <w:r>
        <w:rPr>
          <w:b/>
          <w:i w:val="0"/>
        </w:rPr>
        <w:t>TCP/IP</w:t>
      </w:r>
      <w:r>
        <w:rPr>
          <w:b w:val="0"/>
          <w:i w:val="0"/>
        </w:rPr>
        <w:t>), protocolo de transferencia de hipertexto (</w:t>
      </w:r>
      <w:r>
        <w:rPr>
          <w:b/>
          <w:i w:val="0"/>
        </w:rPr>
        <w:t>HTTP</w:t>
      </w:r>
      <w:r>
        <w:rPr>
          <w:b w:val="0"/>
          <w:i w:val="0"/>
        </w:rPr>
        <w:t>) y su versión segura (</w:t>
      </w:r>
      <w:r>
        <w:rPr>
          <w:b/>
          <w:i w:val="0"/>
        </w:rPr>
        <w:t>HTTPS</w:t>
      </w:r>
      <w:r>
        <w:rPr>
          <w:b w:val="0"/>
          <w:i w:val="0"/>
        </w:rPr>
        <w:t>),</w:t>
      </w:r>
      <w:r>
        <w:t xml:space="preserve"> </w:t>
      </w:r>
      <w:r>
        <w:rPr>
          <w:b w:val="0"/>
          <w:i w:val="0"/>
        </w:rPr>
        <w:t>sistema de nombres de dominio (</w:t>
      </w:r>
      <w:r>
        <w:rPr>
          <w:b/>
          <w:i w:val="0"/>
        </w:rPr>
        <w:t>DNS</w:t>
      </w:r>
      <w:r>
        <w:rPr>
          <w:b w:val="0"/>
          <w:i w:val="0"/>
        </w:rPr>
        <w:t>), localizador uniforme de recursos (</w:t>
      </w:r>
      <w:r>
        <w:rPr>
          <w:b/>
          <w:i w:val="0"/>
        </w:rPr>
        <w:t>URL</w:t>
      </w:r>
      <w:r>
        <w:rPr>
          <w:b w:val="0"/>
          <w:i w:val="0"/>
        </w:rPr>
        <w:t>), protocolo de</w:t>
      </w:r>
      <w:r>
        <w:t xml:space="preserve"> </w:t>
      </w:r>
      <w:r>
        <w:rPr>
          <w:b w:val="0"/>
          <w:i w:val="0"/>
        </w:rPr>
        <w:t>configuración dinámica de anfitrión (</w:t>
      </w:r>
      <w:r>
        <w:rPr>
          <w:b/>
          <w:i w:val="0"/>
        </w:rPr>
        <w:t>DHCP</w:t>
      </w:r>
      <w:r>
        <w:rPr>
          <w:b w:val="0"/>
          <w:i w:val="0"/>
        </w:rPr>
        <w:t>), protocolo de transferencia de ficheros (</w:t>
      </w:r>
      <w:r>
        <w:rPr>
          <w:b/>
          <w:i w:val="0"/>
        </w:rPr>
        <w:t>FTP</w:t>
      </w:r>
      <w:r>
        <w:rPr>
          <w:b w:val="0"/>
          <w:i w:val="0"/>
        </w:rPr>
        <w:t>),</w:t>
      </w:r>
      <w:r>
        <w:t xml:space="preserve"> </w:t>
      </w:r>
      <w:r>
        <w:rPr>
          <w:b w:val="0"/>
          <w:i w:val="0"/>
        </w:rPr>
        <w:t>protocolo simple de transferencia de correo (</w:t>
      </w:r>
      <w:r>
        <w:rPr>
          <w:b/>
          <w:i w:val="0"/>
        </w:rPr>
        <w:t>SMTP</w:t>
      </w:r>
      <w:r>
        <w:rPr>
          <w:b w:val="0"/>
          <w:i w:val="0"/>
        </w:rPr>
        <w:t>), protocolo de oficina de correos (</w:t>
      </w:r>
      <w:r>
        <w:rPr>
          <w:b/>
          <w:i w:val="0"/>
        </w:rPr>
        <w:t>POP3</w:t>
      </w:r>
      <w:r>
        <w:rPr>
          <w:b w:val="0"/>
          <w:i w:val="0"/>
        </w:rPr>
        <w:t>),</w:t>
      </w:r>
      <w:r>
        <w:t xml:space="preserve"> </w:t>
      </w:r>
      <w:r>
        <w:rPr>
          <w:b w:val="0"/>
          <w:i w:val="0"/>
        </w:rPr>
        <w:t>protocolo de acceso a mensajes de internet (</w:t>
      </w:r>
      <w:r>
        <w:rPr>
          <w:b/>
          <w:i w:val="0"/>
        </w:rPr>
        <w:t>IMAP</w:t>
      </w:r>
      <w:r>
        <w:rPr>
          <w:b w:val="0"/>
          <w:i w:val="0"/>
        </w:rPr>
        <w:t>), red de área local (</w:t>
      </w:r>
      <w:r>
        <w:rPr>
          <w:b/>
          <w:i w:val="0"/>
        </w:rPr>
        <w:t>LAN</w:t>
      </w:r>
      <w:r>
        <w:rPr>
          <w:b w:val="0"/>
          <w:i w:val="0"/>
        </w:rPr>
        <w:t>), red privada</w:t>
      </w:r>
      <w:r>
        <w:t xml:space="preserve"> </w:t>
      </w:r>
      <w:r>
        <w:rPr>
          <w:b w:val="0"/>
          <w:i w:val="0"/>
        </w:rPr>
        <w:t>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13</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