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almacenamiento conectado a la red (</w:t>
      </w:r>
      <w:r>
        <w:rPr>
          <w:b/>
          <w:i w:val="0"/>
        </w:rPr>
        <w:t>NAS</w:t>
      </w:r>
      <w:r>
        <w:rPr>
          <w:b w:val="0"/>
          <w:i w:val="0"/>
        </w:rPr>
        <w:t>) y la red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xml:space="preserve">, </w:t>
      </w:r>
      <w:r>
        <w:rPr>
          <w:b w:val="0"/>
          <w:i/>
        </w:rPr>
        <w:t>redundant</w:t>
      </w:r>
      <w:r>
        <w:t xml:space="preserve"> </w:t>
      </w:r>
      <w:r>
        <w:rPr>
          <w:b w:val="0"/>
          <w:i/>
        </w:rPr>
        <w:t>array of independent disks</w:t>
      </w:r>
      <w:r>
        <w:rPr>
          <w:b w:val="0"/>
          <w:i w:val="0"/>
        </w:rPr>
        <w:t>).</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Siglas</w:t>
      </w:r>
      <w:r>
        <w:rPr>
          <w:b w:val="0"/>
          <w:i w:val="0"/>
        </w:rPr>
        <w:t>: la Comisión Internacional de la Iluminación (</w:t>
      </w:r>
      <w:r>
        <w:rPr>
          <w:b/>
          <w:i w:val="0"/>
        </w:rPr>
        <w:t>CIE</w:t>
      </w:r>
      <w:r>
        <w:rPr>
          <w:b w:val="0"/>
          <w:i w:val="0"/>
        </w:rPr>
        <w:t>); el alto rango</w:t>
      </w:r>
      <w:r>
        <w:t xml:space="preserve"> </w:t>
      </w:r>
      <w:r>
        <w:rPr>
          <w:b w:val="0"/>
          <w:i w:val="0"/>
        </w:rPr>
        <w:t>dinámico (</w:t>
      </w:r>
      <w:r>
        <w:rPr>
          <w:b/>
          <w:i w:val="0"/>
        </w:rPr>
        <w:t>HDR</w:t>
      </w:r>
      <w:r>
        <w:rPr>
          <w:b w:val="0"/>
          <w:i w:val="0"/>
        </w:rPr>
        <w:t xml:space="preserve">, </w:t>
      </w:r>
      <w:r>
        <w:rPr>
          <w:b w:val="0"/>
          <w:i/>
        </w:rPr>
        <w:t>high dynamic range</w:t>
      </w:r>
      <w:r>
        <w:rPr>
          <w:b w:val="0"/>
          <w:i w:val="0"/>
        </w:rPr>
        <w:t>), con su curva híbrida logarítmica-gamma (</w:t>
      </w:r>
      <w:r>
        <w:rPr>
          <w:b/>
          <w:i w:val="0"/>
        </w:rPr>
        <w:t>HLG</w:t>
      </w:r>
      <w:r>
        <w:rPr>
          <w:b w:val="0"/>
          <w:i w:val="0"/>
        </w:rPr>
        <w:t xml:space="preserve">, </w:t>
      </w:r>
      <w:r>
        <w:rPr>
          <w:b w:val="0"/>
          <w:i/>
        </w:rPr>
        <w:t>hybrid</w:t>
      </w:r>
      <w:r>
        <w:t xml:space="preserve"> </w:t>
      </w:r>
      <w:r>
        <w:rPr>
          <w:b w:val="0"/>
          <w:i/>
        </w:rPr>
        <w:t>log-gamma</w:t>
      </w:r>
      <w:r>
        <w:rPr>
          <w:b w:val="0"/>
          <w:i w:val="0"/>
        </w:rPr>
        <w:t>), y el rango dinámico estándar (</w:t>
      </w:r>
      <w:r>
        <w:rPr>
          <w:b/>
          <w:i w:val="0"/>
        </w:rPr>
        <w:t>SDR</w:t>
      </w:r>
      <w:r>
        <w:rPr>
          <w:b w:val="0"/>
          <w:i w:val="0"/>
        </w:rPr>
        <w:t>); la luminancia constante (</w:t>
      </w:r>
      <w:r>
        <w:rPr>
          <w:b/>
          <w:i w:val="0"/>
        </w:rPr>
        <w:t>CL</w:t>
      </w:r>
      <w:r>
        <w:rPr>
          <w:b w:val="0"/>
          <w:i w:val="0"/>
        </w:rPr>
        <w:t xml:space="preserve">, </w:t>
      </w:r>
      <w:r>
        <w:rPr>
          <w:b w:val="0"/>
          <w:i/>
        </w:rPr>
        <w:t>constant</w:t>
      </w:r>
      <w:r>
        <w:t xml:space="preserve"> </w:t>
      </w:r>
      <w:r>
        <w:rPr>
          <w:b w:val="0"/>
          <w:i/>
        </w:rPr>
        <w:t>luminance</w:t>
      </w:r>
      <w:r>
        <w:rPr>
          <w:b w:val="0"/>
          <w:i w:val="0"/>
        </w:rPr>
        <w:t>) y la no constante (</w:t>
      </w:r>
      <w:r>
        <w:rPr>
          <w:b/>
          <w:i w:val="0"/>
        </w:rPr>
        <w:t>NCL</w:t>
      </w:r>
      <w:r>
        <w:rPr>
          <w:b w:val="0"/>
          <w:i w:val="0"/>
        </w:rPr>
        <w:t xml:space="preserve">, que el examen escribe </w:t>
      </w:r>
      <w:r>
        <w:rPr>
          <w:b/>
          <w:i w:val="0"/>
        </w:rPr>
        <w:t>NFL</w:t>
      </w:r>
      <w:r>
        <w:rPr>
          <w:b w:val="0"/>
          <w:i w:val="0"/>
        </w:rPr>
        <w:t>); los tres primarios rojo,</w:t>
      </w:r>
      <w:r>
        <w:t xml:space="preserve"> </w:t>
      </w:r>
      <w:r>
        <w:rPr>
          <w:b w:val="0"/>
          <w:i w:val="0"/>
        </w:rPr>
        <w:t>verde y azul (</w:t>
      </w:r>
      <w:r>
        <w:rPr>
          <w:b/>
          <w:i w:val="0"/>
        </w:rPr>
        <w:t>RGB</w:t>
      </w:r>
      <w:r>
        <w:rPr>
          <w:b w:val="0"/>
          <w:i w:val="0"/>
        </w:rPr>
        <w:t>);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xml:space="preserve">) publica las 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w:t>
      </w:r>
      <w:r>
        <w:t xml:space="preserve"> </w:t>
      </w:r>
      <w:r>
        <w:rPr>
          <w:b w:val="0"/>
          <w:i w:val="0"/>
        </w:rPr>
        <w:t>la Unión Internacional de Telecomunicaciones (</w:t>
      </w:r>
      <w:r>
        <w:rPr>
          <w:b/>
          <w:i w:val="0"/>
        </w:rPr>
        <w:t>UIT</w:t>
      </w:r>
      <w:r>
        <w:rPr>
          <w:b w:val="0"/>
          <w:i w:val="0"/>
        </w:rPr>
        <w:t>).</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protocolo de transferencia de hipertexto (</w:t>
      </w:r>
      <w:r>
        <w:rPr>
          <w:b/>
          <w:i w:val="0"/>
        </w:rPr>
        <w:t>HTTP</w:t>
      </w:r>
      <w:r>
        <w:rPr>
          <w:b w:val="0"/>
          <w:i w:val="0"/>
        </w:rPr>
        <w:t>); el protocolo</w:t>
      </w:r>
      <w:r>
        <w:t xml:space="preserve"> </w:t>
      </w:r>
      <w:r>
        <w:rPr>
          <w:b w:val="0"/>
          <w:i w:val="0"/>
        </w:rPr>
        <w:t>de internet (</w:t>
      </w:r>
      <w:r>
        <w:rPr>
          <w:b/>
          <w:i w:val="0"/>
        </w:rPr>
        <w:t>IP</w:t>
      </w:r>
      <w:r>
        <w:rPr>
          <w:b w:val="0"/>
          <w:i w:val="0"/>
        </w:rPr>
        <w:t>); el protocolo de transporte en tiempo real (</w:t>
      </w:r>
      <w:r>
        <w:rPr>
          <w:b/>
          <w:i w:val="0"/>
        </w:rPr>
        <w:t>RTP</w:t>
      </w:r>
      <w:r>
        <w:rPr>
          <w:b w:val="0"/>
          <w:i w:val="0"/>
        </w:rPr>
        <w:t xml:space="preserve">, </w:t>
      </w:r>
      <w:r>
        <w:rPr>
          <w:b w:val="0"/>
          <w:i/>
        </w:rPr>
        <w:t>real-time transport</w:t>
      </w:r>
      <w:r>
        <w:t xml:space="preserve"> </w:t>
      </w:r>
      <w:r>
        <w:rPr>
          <w:b w:val="0"/>
          <w:i/>
        </w:rPr>
        <w:t>protocol</w:t>
      </w:r>
      <w:r>
        <w:rPr>
          <w:b w:val="0"/>
          <w:i w:val="0"/>
        </w:rPr>
        <w:t>) y su protocolo de control (</w:t>
      </w:r>
      <w:r>
        <w:rPr>
          <w:b/>
          <w:i w:val="0"/>
        </w:rPr>
        <w:t>RTCP</w:t>
      </w:r>
      <w:r>
        <w:rPr>
          <w:b w:val="0"/>
          <w:i w:val="0"/>
        </w:rPr>
        <w:t>); el protocolo de inicio de sesión (</w:t>
      </w:r>
      <w:r>
        <w:rPr>
          <w:b/>
          <w:i w:val="0"/>
        </w:rPr>
        <w:t>SIP</w:t>
      </w:r>
      <w:r>
        <w:rPr>
          <w:b w:val="0"/>
          <w:i w:val="0"/>
        </w:rPr>
        <w:t xml:space="preserve">, </w:t>
      </w:r>
      <w:r>
        <w:rPr>
          <w:b w:val="0"/>
          <w:i/>
        </w:rPr>
        <w:t>session</w:t>
      </w:r>
      <w:r>
        <w:t xml:space="preserve"> </w:t>
      </w:r>
      <w:r>
        <w:rPr>
          <w:b w:val="0"/>
          <w:i/>
        </w:rPr>
        <w:t>initiation protocol</w:t>
      </w:r>
      <w:r>
        <w:rPr>
          <w:b w:val="0"/>
          <w:i w:val="0"/>
        </w:rPr>
        <w:t>); el protocolo de control de transmisión (</w:t>
      </w:r>
      <w:r>
        <w:rPr>
          <w:b/>
          <w:i w:val="0"/>
        </w:rPr>
        <w:t>TCP</w:t>
      </w:r>
      <w:r>
        <w:rPr>
          <w:b w:val="0"/>
          <w:i w:val="0"/>
        </w:rPr>
        <w:t>) y el de datagramas de</w:t>
      </w:r>
      <w:r>
        <w:t xml:space="preserve"> </w:t>
      </w:r>
      <w:r>
        <w:rPr>
          <w:b w:val="0"/>
          <w:i w:val="0"/>
        </w:rPr>
        <w:t>usuario (</w:t>
      </w:r>
      <w:r>
        <w:rPr>
          <w:b/>
          <w:i w:val="0"/>
        </w:rPr>
        <w:t>UDP</w:t>
      </w:r>
      <w:r>
        <w:rPr>
          <w:b w:val="0"/>
          <w:i w:val="0"/>
        </w:rPr>
        <w:t>).</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la Unión Internacional de Telecomunicaciones (</w:t>
      </w:r>
      <w:r>
        <w:rPr>
          <w:b/>
          <w:i w:val="0"/>
        </w:rPr>
        <w:t>UIT</w:t>
      </w:r>
      <w:r>
        <w:rPr>
          <w:b w:val="0"/>
          <w:i w:val="0"/>
        </w:rPr>
        <w:t>) y su serie de recomendaciones de</w:t>
      </w:r>
      <w:r>
        <w:t xml:space="preserve"> </w:t>
      </w:r>
      <w:r>
        <w:rPr>
          <w:b w:val="0"/>
          <w:i w:val="0"/>
        </w:rPr>
        <w:t>radiodifusión de televisión (</w:t>
      </w:r>
      <w:r>
        <w:rPr>
          <w:b/>
          <w:i w:val="0"/>
        </w:rPr>
        <w:t>BT</w:t>
      </w:r>
      <w:r>
        <w:rPr>
          <w:b w:val="0"/>
          <w:i w:val="0"/>
        </w:rPr>
        <w:t xml:space="preserve">), de donde salen las </w:t>
      </w:r>
      <w:r>
        <w:rPr>
          <w:b/>
          <w:i w:val="0"/>
        </w:rPr>
        <w:t>UIT-R BT</w:t>
      </w:r>
      <w:r>
        <w:rPr>
          <w:b w:val="0"/>
          <w:i w:val="0"/>
        </w:rPr>
        <w:t xml:space="preserve"> que el tema cita.</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Siglas</w:t>
      </w:r>
      <w:r>
        <w:rPr>
          <w:b w:val="0"/>
          <w:i w:val="0"/>
        </w:rPr>
        <w:t>: la codificación de vídeo de alta eficiencia (</w:t>
      </w:r>
      <w:r>
        <w:rPr>
          <w:b/>
          <w:i w:val="0"/>
        </w:rPr>
        <w:t>HEVC</w:t>
      </w:r>
      <w:r>
        <w:rPr>
          <w:b w:val="0"/>
          <w:i w:val="0"/>
        </w:rPr>
        <w:t>, conocida como</w:t>
      </w:r>
      <w:r>
        <w:t xml:space="preserve"> </w:t>
      </w:r>
      <w:r>
        <w:rPr>
          <w:b w:val="0"/>
          <w:i w:val="0"/>
        </w:rPr>
      </w:r>
      <w:r>
        <w:rPr>
          <w:b/>
          <w:i w:val="0"/>
        </w:rPr>
        <w:t>H.265</w:t>
      </w:r>
      <w:r>
        <w:rPr>
          <w:b w:val="0"/>
          <w:i w:val="0"/>
        </w:rPr>
        <w:t xml:space="preserve">) y su predecesora </w:t>
      </w:r>
      <w:r>
        <w:rPr>
          <w:b/>
          <w:i w:val="0"/>
        </w:rPr>
        <w:t>H.264</w:t>
      </w:r>
      <w:r>
        <w:rPr>
          <w:b w:val="0"/>
          <w:i w:val="0"/>
        </w:rPr>
        <w:t xml:space="preserve">, también llamada </w:t>
      </w:r>
      <w:r>
        <w:rPr>
          <w:b/>
          <w:i w:val="0"/>
        </w:rPr>
        <w:t>AVC</w:t>
      </w:r>
      <w:r>
        <w:rPr>
          <w:b w:val="0"/>
          <w:i w:val="0"/>
        </w:rPr>
        <w:t>; el código de tiempo (</w:t>
      </w:r>
      <w:r>
        <w:rPr>
          <w:b/>
          <w:i w:val="0"/>
        </w:rPr>
        <w:t>TC</w:t>
      </w:r>
      <w:r>
        <w:rPr>
          <w:b w:val="0"/>
          <w:i w:val="0"/>
        </w:rPr>
        <w:t xml:space="preserve">, </w:t>
      </w:r>
      <w:r>
        <w:rPr>
          <w:b w:val="0"/>
          <w:i/>
        </w:rPr>
        <w:t>time</w:t>
      </w:r>
      <w:r>
        <w:t xml:space="preserve"> </w:t>
      </w:r>
      <w:r>
        <w:rPr>
          <w:b w:val="0"/>
          <w:i/>
        </w:rPr>
        <w:t>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el formato de</w:t>
      </w:r>
      <w:r>
        <w:t xml:space="preserve"> </w:t>
      </w:r>
      <w:r>
        <w:rPr>
          <w:b w:val="0"/>
          <w:i w:val="0"/>
        </w:rPr>
        <w:t>imagen de píxeles digitales (</w:t>
      </w:r>
      <w:r>
        <w:rPr>
          <w:b/>
          <w:i w:val="0"/>
        </w:rPr>
        <w:t>DPX</w:t>
      </w:r>
      <w:r>
        <w:rPr>
          <w:b w:val="0"/>
          <w:i w:val="0"/>
        </w:rPr>
        <w:t>) y los contenedores de Apple (</w:t>
      </w:r>
      <w:r>
        <w:rPr>
          <w:b/>
          <w:i w:val="0"/>
        </w:rPr>
        <w:t>MOV</w:t>
      </w:r>
      <w:r>
        <w:rPr>
          <w:b w:val="0"/>
          <w:i w:val="0"/>
        </w:rPr>
        <w:t>) y de la familia MPEG</w:t>
      </w:r>
      <w:r>
        <w:t xml:space="preserve"> </w:t>
      </w:r>
      <w:r>
        <w:rPr>
          <w:b w:val="0"/>
          <w:i w:val="0"/>
        </w:rPr>
        <w:t>(</w:t>
      </w:r>
      <w:r>
        <w:rPr>
          <w:b/>
          <w:i w:val="0"/>
        </w:rPr>
        <w:t>MP4</w:t>
      </w:r>
      <w:r>
        <w:rPr>
          <w:b w:val="0"/>
          <w:i w:val="0"/>
        </w:rPr>
        <w:t>); el disco versátil digital (</w:t>
      </w:r>
      <w:r>
        <w:rPr>
          <w:b/>
          <w:i w:val="0"/>
        </w:rPr>
        <w:t>DVD</w:t>
      </w:r>
      <w:r>
        <w:rPr>
          <w:b w:val="0"/>
          <w:i w:val="0"/>
        </w:rPr>
        <w:t>); la alta definición (</w:t>
      </w:r>
      <w:r>
        <w:rPr>
          <w:b/>
          <w:i w:val="0"/>
        </w:rPr>
        <w:t>HD</w:t>
      </w:r>
      <w:r>
        <w:rPr>
          <w:b w:val="0"/>
          <w:i w:val="0"/>
        </w:rPr>
        <w:t>) y la ultra alta</w:t>
      </w:r>
      <w:r>
        <w:t xml:space="preserve"> </w:t>
      </w:r>
      <w:r>
        <w:rPr>
          <w:b w:val="0"/>
          <w:i w:val="0"/>
        </w:rPr>
        <w:t>definición (</w:t>
      </w:r>
      <w:r>
        <w:rPr>
          <w:b/>
          <w:i w:val="0"/>
        </w:rPr>
        <w:t>UHD</w:t>
      </w:r>
      <w:r>
        <w:rPr>
          <w:b w:val="0"/>
          <w:i w:val="0"/>
        </w:rPr>
        <w:t>); el alto rango dinámico (</w:t>
      </w:r>
      <w:r>
        <w:rPr>
          <w:b/>
          <w:i w:val="0"/>
        </w:rPr>
        <w:t>HDR</w:t>
      </w:r>
      <w:r>
        <w:rPr>
          <w:b w:val="0"/>
          <w:i w:val="0"/>
        </w:rPr>
        <w:t>); la Unión Internacional de Telecomunicaciones</w:t>
      </w:r>
      <w:r>
        <w:t xml:space="preserve"> </w:t>
      </w:r>
      <w:r>
        <w:rPr>
          <w:b w:val="0"/>
          <w:i w:val="0"/>
        </w:rPr>
        <w:t>en su nombre inglés (</w:t>
      </w:r>
      <w:r>
        <w:rPr>
          <w:b/>
          <w:i w:val="0"/>
        </w:rPr>
        <w:t>ITU</w:t>
      </w:r>
      <w:r>
        <w:rPr>
          <w:b w:val="0"/>
          <w:i w:val="0"/>
        </w:rPr>
        <w:t>), que es como la escribe una de las opciones del examen; el Grupo de</w:t>
      </w:r>
      <w:r>
        <w:t xml:space="preserve"> </w:t>
      </w:r>
      <w:r>
        <w:rPr>
          <w:b w:val="0"/>
          <w:i w:val="0"/>
        </w:rPr>
        <w:t>Expertos en Imágenes en Movimiento (</w:t>
      </w:r>
      <w:r>
        <w:rPr>
          <w:b/>
          <w:i w:val="0"/>
        </w:rPr>
        <w:t>MPEG</w:t>
      </w:r>
      <w:r>
        <w:rPr>
          <w:b w:val="0"/>
          <w:i w:val="0"/>
        </w:rPr>
        <w:t>) y el Grupo Conjunto de Expertos en Fotografía</w:t>
      </w:r>
      <w:r>
        <w:t xml:space="preserve"> </w:t>
      </w:r>
      <w:r>
        <w:rPr>
          <w:b w:val="0"/>
          <w:i w:val="0"/>
        </w:rPr>
        <w:t>(</w:t>
      </w:r>
      <w:r>
        <w:rPr>
          <w:b/>
          <w:i w:val="0"/>
        </w:rPr>
        <w:t>JPEG</w:t>
      </w:r>
      <w:r>
        <w:rPr>
          <w:b w:val="0"/>
          <w:i w:val="0"/>
        </w:rPr>
        <w:t>); el formato de intercambio de material (</w:t>
      </w:r>
      <w:r>
        <w:rPr>
          <w:b/>
          <w:i w:val="0"/>
        </w:rPr>
        <w:t>MXF</w:t>
      </w:r>
      <w:r>
        <w:rPr>
          <w:b w:val="0"/>
          <w:i w:val="0"/>
        </w:rPr>
        <w:t xml:space="preserve">, </w:t>
      </w:r>
      <w:r>
        <w:rPr>
          <w:b w:val="0"/>
          <w:i/>
        </w:rPr>
        <w:t>material exchange format</w:t>
      </w:r>
      <w:r>
        <w:rPr>
          <w:b w:val="0"/>
          <w:i w:val="0"/>
        </w:rPr>
        <w:t>); la línea</w:t>
      </w:r>
      <w:r>
        <w:t xml:space="preserve"> </w:t>
      </w:r>
      <w:r>
        <w:rPr>
          <w:b w:val="0"/>
          <w:i w:val="0"/>
        </w:rPr>
        <w:t>alternada en fase (</w:t>
      </w:r>
      <w:r>
        <w:rPr>
          <w:b/>
          <w:i w:val="0"/>
        </w:rPr>
        <w:t>PAL</w:t>
      </w:r>
      <w:r>
        <w:rPr>
          <w:b w:val="0"/>
          <w:i w:val="0"/>
        </w:rPr>
        <w:t>) y la línea nacional norteamericana (</w:t>
      </w:r>
      <w:r>
        <w:rPr>
          <w:b/>
          <w:i w:val="0"/>
        </w:rPr>
        <w:t>NTSC</w:t>
      </w:r>
      <w:r>
        <w:rPr>
          <w:b w:val="0"/>
          <w:i w:val="0"/>
        </w:rPr>
        <w:t>); los tres primarios rojo,</w:t>
      </w:r>
      <w:r>
        <w:t xml:space="preserve"> </w:t>
      </w:r>
      <w:r>
        <w:rPr>
          <w:b w:val="0"/>
          <w:i w:val="0"/>
        </w:rPr>
        <w:t>verde y azul (</w:t>
      </w:r>
      <w:r>
        <w:rPr>
          <w:b/>
          <w:i w:val="0"/>
        </w:rPr>
        <w:t>RGB</w:t>
      </w:r>
      <w:r>
        <w:rPr>
          <w:b w:val="0"/>
          <w:i w:val="0"/>
        </w:rPr>
        <w:t>); la Sociedad de Ingenieros de Cine y Televisión (</w:t>
      </w:r>
      <w:r>
        <w:rPr>
          <w:b/>
          <w:i w:val="0"/>
        </w:rPr>
        <w:t>SMPTE</w:t>
      </w:r>
      <w:r>
        <w:rPr>
          <w:b w:val="0"/>
          <w:i w:val="0"/>
        </w:rPr>
        <w:t>);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w:t>
      </w:r>
      <w:r>
        <w:t xml:space="preserve"> </w:t>
      </w:r>
      <w:r>
        <w:rPr>
          <w:b w:val="0"/>
          <w:i w:val="0"/>
        </w:rPr>
        <w:t xml:space="preserve">publica las 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 la Unión</w:t>
      </w:r>
      <w:r>
        <w:t xml:space="preserve"> </w:t>
      </w:r>
      <w:r>
        <w:rPr>
          <w:b w:val="0"/>
          <w:i w:val="0"/>
        </w:rPr>
        <w:t>Internacional de Telecomunicaciones (</w:t>
      </w:r>
      <w:r>
        <w:rPr>
          <w:b/>
          <w:i w:val="0"/>
        </w:rPr>
        <w:t>UIT</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Siglas</w:t>
      </w:r>
      <w:r>
        <w:rPr>
          <w:b w:val="0"/>
          <w:i w:val="0"/>
        </w:rPr>
        <w:t>: el formato avanzado de autoría (</w:t>
      </w:r>
      <w:r>
        <w:rPr>
          <w:b/>
          <w:i w:val="0"/>
        </w:rPr>
        <w:t>AAF</w:t>
      </w:r>
      <w:r>
        <w:rPr>
          <w:b w:val="0"/>
          <w:i w:val="0"/>
        </w:rPr>
        <w:t xml:space="preserve">, </w:t>
      </w:r>
      <w:r>
        <w:rPr>
          <w:b w:val="0"/>
          <w:i/>
        </w:rPr>
        <w:t>advanced authoring format</w:t>
      </w:r>
      <w:r>
        <w:rPr>
          <w:b w:val="0"/>
          <w:i w:val="0"/>
        </w:rPr>
        <w:t>);</w:t>
      </w:r>
      <w:r>
        <w:t xml:space="preserve"> </w:t>
      </w:r>
      <w:r>
        <w:rPr>
          <w:b w:val="0"/>
          <w:i w:val="0"/>
        </w:rPr>
        <w:t>los contenedores de Apple (</w:t>
      </w:r>
      <w:r>
        <w:rPr>
          <w:b/>
          <w:i w:val="0"/>
        </w:rPr>
        <w:t>MOV</w:t>
      </w:r>
      <w:r>
        <w:rPr>
          <w:b w:val="0"/>
          <w:i w:val="0"/>
        </w:rPr>
        <w:t>), de la familia MPEG (</w:t>
      </w:r>
      <w:r>
        <w:rPr>
          <w:b/>
          <w:i w:val="0"/>
        </w:rPr>
        <w:t>MP4</w:t>
      </w:r>
      <w:r>
        <w:rPr>
          <w:b w:val="0"/>
          <w:i w:val="0"/>
        </w:rPr>
        <w:t>) y de Microsoft (</w:t>
      </w:r>
      <w:r>
        <w:rPr>
          <w:b/>
          <w:i w:val="0"/>
        </w:rPr>
        <w:t>AVI</w:t>
      </w:r>
      <w:r>
        <w:rPr>
          <w:b w:val="0"/>
          <w:i w:val="0"/>
        </w:rPr>
        <w:t>), y el</w:t>
      </w:r>
      <w:r>
        <w:t xml:space="preserve"> </w:t>
      </w:r>
      <w:r>
        <w:rPr>
          <w:b w:val="0"/>
          <w:i w:val="0"/>
        </w:rPr>
        <w:t xml:space="preserve">contenedor libre </w:t>
      </w:r>
      <w:r>
        <w:rPr>
          <w:b/>
          <w:i w:val="0"/>
        </w:rPr>
        <w:t>OGG</w:t>
      </w:r>
      <w:r>
        <w:rPr>
          <w:b w:val="0"/>
          <w:i w:val="0"/>
        </w:rPr>
        <w:t>; el formato gráfico de intercambio (</w:t>
      </w:r>
      <w:r>
        <w:rPr>
          <w:b/>
          <w:i w:val="0"/>
        </w:rPr>
        <w:t>GIF</w:t>
      </w:r>
      <w:r>
        <w:rPr>
          <w:b w:val="0"/>
          <w:i w:val="0"/>
        </w:rPr>
        <w:t>), el mapa de bits (</w:t>
      </w:r>
      <w:r>
        <w:rPr>
          <w:b/>
          <w:i w:val="0"/>
        </w:rPr>
        <w:t>BMP</w:t>
      </w:r>
      <w:r>
        <w:rPr>
          <w:b w:val="0"/>
          <w:i w:val="0"/>
        </w:rPr>
        <w:t>),</w:t>
      </w:r>
      <w:r>
        <w:t xml:space="preserve"> </w:t>
      </w:r>
      <w:r>
        <w:rPr>
          <w:b w:val="0"/>
          <w:i w:val="0"/>
        </w:rPr>
        <w:t>los gráficos de red portátiles (</w:t>
      </w:r>
      <w:r>
        <w:rPr>
          <w:b/>
          <w:i w:val="0"/>
        </w:rPr>
        <w:t>PNG</w:t>
      </w:r>
      <w:r>
        <w:rPr>
          <w:b w:val="0"/>
          <w:i w:val="0"/>
        </w:rPr>
        <w:t>) y el formato del grupo conjunto de expertos en fotografía</w:t>
      </w:r>
      <w:r>
        <w:t xml:space="preserve"> </w:t>
      </w:r>
      <w:r>
        <w:rPr>
          <w:b w:val="0"/>
          <w:i w:val="0"/>
        </w:rPr>
        <w:t>(</w:t>
      </w:r>
      <w:r>
        <w:rPr>
          <w:b/>
          <w:i w:val="0"/>
        </w:rPr>
        <w:t>JPEG</w:t>
      </w:r>
      <w:r>
        <w:rPr>
          <w:b w:val="0"/>
          <w:i w:val="0"/>
        </w:rPr>
        <w:t>); la lista de decisión de edición (</w:t>
      </w:r>
      <w:r>
        <w:rPr>
          <w:b/>
          <w:i w:val="0"/>
        </w:rPr>
        <w:t>EDL</w:t>
      </w:r>
      <w:r>
        <w:rPr>
          <w:b w:val="0"/>
          <w:i w:val="0"/>
        </w:rPr>
        <w:t xml:space="preserve">, </w:t>
      </w:r>
      <w:r>
        <w:rPr>
          <w:b w:val="0"/>
          <w:i/>
        </w:rPr>
        <w:t>edit decision list</w:t>
      </w:r>
      <w:r>
        <w:rPr>
          <w:b w:val="0"/>
          <w:i w:val="0"/>
        </w:rPr>
        <w:t>); el formato de emisión</w:t>
      </w:r>
      <w:r>
        <w:t xml:space="preserve"> </w:t>
      </w:r>
      <w:r>
        <w:rPr>
          <w:b w:val="0"/>
          <w:i w:val="0"/>
        </w:rPr>
      </w:r>
      <w:r>
        <w:rPr>
          <w:b/>
          <w:i w:val="0"/>
        </w:rPr>
        <w:t>IMX</w:t>
      </w:r>
      <w:r>
        <w:rPr>
          <w:b w:val="0"/>
          <w:i w:val="0"/>
        </w:rPr>
        <w:t>; la cinta lineal abierta (</w:t>
      </w:r>
      <w:r>
        <w:rPr>
          <w:b/>
          <w:i w:val="0"/>
        </w:rPr>
        <w:t>LTO</w:t>
      </w:r>
      <w:r>
        <w:rPr>
          <w:b w:val="0"/>
          <w:i w:val="0"/>
        </w:rPr>
        <w:t xml:space="preserve">, </w:t>
      </w:r>
      <w:r>
        <w:rPr>
          <w:b w:val="0"/>
          <w:i/>
        </w:rPr>
        <w:t>linear tape open</w:t>
      </w:r>
      <w:r>
        <w:rPr>
          <w:b w:val="0"/>
          <w:i w:val="0"/>
        </w:rPr>
        <w:t>); el formato de intercambio de</w:t>
      </w:r>
      <w:r>
        <w:t xml:space="preserve"> </w:t>
      </w:r>
      <w:r>
        <w:rPr>
          <w:b w:val="0"/>
          <w:i w:val="0"/>
        </w:rPr>
        <w:t>material (</w:t>
      </w:r>
      <w:r>
        <w:rPr>
          <w:b/>
          <w:i w:val="0"/>
        </w:rPr>
        <w:t>MXF</w:t>
      </w:r>
      <w:r>
        <w:rPr>
          <w:b w:val="0"/>
          <w:i w:val="0"/>
        </w:rPr>
        <w:t xml:space="preserve">, </w:t>
      </w:r>
      <w:r>
        <w:rPr>
          <w:b w:val="0"/>
          <w:i/>
        </w:rPr>
        <w:t>material exchange format</w:t>
      </w:r>
      <w:r>
        <w:rPr>
          <w:b w:val="0"/>
          <w:i w:val="0"/>
        </w:rPr>
        <w:t xml:space="preserve">), con sus perfiles operacionales </w:t>
      </w:r>
      <w:r>
        <w:rPr>
          <w:b/>
          <w:i w:val="0"/>
        </w:rPr>
        <w:t>Op1a</w:t>
      </w:r>
      <w:r>
        <w:rPr>
          <w:b w:val="0"/>
          <w:i w:val="0"/>
        </w:rPr>
        <w:t xml:space="preserve"> y</w:t>
      </w:r>
      <w:r>
        <w:t xml:space="preserve"> </w:t>
      </w:r>
      <w:r>
        <w:rPr>
          <w:b w:val="0"/>
          <w:i w:val="0"/>
        </w:rPr>
      </w:r>
      <w:r>
        <w:rPr>
          <w:b/>
          <w:i w:val="0"/>
        </w:rPr>
        <w:t>Op1b-Atom</w:t>
      </w:r>
      <w:r>
        <w:rPr>
          <w:b w:val="0"/>
          <w:i w:val="0"/>
        </w:rPr>
        <w:t>; la modulación por impulsos codificados (</w:t>
      </w:r>
      <w:r>
        <w:rPr>
          <w:b/>
          <w:i w:val="0"/>
        </w:rPr>
        <w:t>PCM</w:t>
      </w:r>
      <w:r>
        <w:rPr>
          <w:b w:val="0"/>
          <w:i w:val="0"/>
        </w:rPr>
        <w:t xml:space="preserve">, </w:t>
      </w:r>
      <w:r>
        <w:rPr>
          <w:b w:val="0"/>
          <w:i/>
        </w:rPr>
        <w:t>pulse-code modulation</w:t>
      </w:r>
      <w:r>
        <w:rPr>
          <w:b w:val="0"/>
          <w:i w:val="0"/>
        </w:rPr>
        <w:t>); el disco</w:t>
      </w:r>
      <w:r>
        <w:t xml:space="preserve"> </w:t>
      </w:r>
      <w:r>
        <w:rPr>
          <w:b w:val="0"/>
          <w:i w:val="0"/>
        </w:rPr>
        <w:t>profesional de esa misma casa (</w:t>
      </w:r>
      <w:r>
        <w:rPr>
          <w:b/>
          <w:i w:val="0"/>
        </w:rPr>
        <w:t>XDCAM</w:t>
      </w:r>
      <w:r>
        <w:rPr>
          <w:b w:val="0"/>
          <w:i w:val="0"/>
        </w:rPr>
        <w:t>); el lenguaje de marcado extensible (</w:t>
      </w:r>
      <w:r>
        <w:rPr>
          <w:b/>
          <w:i w:val="0"/>
        </w:rPr>
        <w:t>XML</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instituto de reglaje del reloj de la imagen (</w:t>
      </w:r>
      <w:r>
        <w:rPr>
          <w:b/>
          <w:i w:val="0"/>
        </w:rPr>
        <w:t>IRE</w:t>
      </w:r>
      <w:r>
        <w:rPr>
          <w:b w:val="0"/>
          <w:i w:val="0"/>
        </w:rPr>
        <w:t>, por la</w:t>
      </w:r>
      <w:r>
        <w:t xml:space="preserve"> </w:t>
      </w:r>
      <w:r>
        <w:rPr>
          <w:b w:val="0"/>
          <w:i w:val="0"/>
        </w:rPr>
        <w:t xml:space="preserve">antigua </w:t>
      </w:r>
      <w:r>
        <w:rPr>
          <w:b w:val="0"/>
          <w:i/>
        </w:rPr>
        <w:t>Institute of Radio Engineers</w:t>
      </w:r>
      <w:r>
        <w:rPr>
          <w:b w:val="0"/>
          <w:i w:val="0"/>
        </w:rPr>
        <w:t>), que da nombre a la unidad de la escala de vídeo; las</w:t>
      </w:r>
      <w:r>
        <w:t xml:space="preserve"> </w:t>
      </w:r>
      <w:r>
        <w:rPr>
          <w:b w:val="0"/>
          <w:i w:val="0"/>
        </w:rPr>
        <w:t>unidades de volumen (</w:t>
      </w:r>
      <w:r>
        <w:rPr>
          <w:b/>
          <w:i w:val="0"/>
        </w:rPr>
        <w:t>VU</w:t>
      </w:r>
      <w:r>
        <w:rPr>
          <w:b w:val="0"/>
          <w:i w:val="0"/>
        </w:rPr>
        <w:t>).</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Sociedad de Ingenieros de Cine y Televisión (</w:t>
      </w:r>
      <w:r>
        <w:rPr>
          <w:b/>
          <w:i w:val="0"/>
        </w:rPr>
        <w:t>SMPTE</w:t>
      </w:r>
      <w:r>
        <w:rPr>
          <w:b w:val="0"/>
          <w:i w:val="0"/>
        </w:rPr>
        <w:t>), cuyas</w:t>
      </w:r>
      <w:r>
        <w:t xml:space="preserve"> </w:t>
      </w:r>
      <w:r>
        <w:rPr>
          <w:b w:val="0"/>
          <w:i w:val="0"/>
        </w:rPr>
        <w:t>barras se citan.</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pantalla de cristal líquido (</w:t>
      </w:r>
      <w:r>
        <w:rPr>
          <w:b/>
          <w:i w:val="0"/>
        </w:rPr>
        <w:t>LCD</w:t>
      </w:r>
      <w:r>
        <w:rPr>
          <w:b w:val="0"/>
          <w:i w:val="0"/>
        </w:rPr>
        <w:t>) del mando.</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