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171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w:t>
      </w:r>
      <w:r>
        <w:rPr>
          <w:b/>
          <w:i w:val="0"/>
        </w:rPr>
        <w:t>en la</w:t>
      </w:r>
      <w:r>
        <w:t xml:space="preserve"> </w:t>
      </w:r>
      <w:r>
        <w:rPr>
          <w:b/>
          <w:i w:val="0"/>
        </w:rPr>
        <w:t>producción, en la explotación de derechos o en ambas</w:t>
      </w:r>
      <w:r>
        <w:rPr>
          <w:b w:val="0"/>
          <w:i w:val="0"/>
        </w:rPr>
        <w:t xml:space="preserve">».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difusión de televisión por protocolo de internet (</w:t>
      </w:r>
      <w:r>
        <w:rPr>
          <w:b/>
          <w:i w:val="0"/>
        </w:rPr>
        <w:t>IPTV</w:t>
      </w:r>
      <w:r>
        <w:rPr>
          <w:b w:val="0"/>
          <w:i w:val="0"/>
        </w:rPr>
        <w:t>) y la Unión Europea</w:t>
      </w:r>
      <w:r>
        <w:t xml:space="preserve"> </w:t>
      </w:r>
      <w:r>
        <w:rPr>
          <w:b w:val="0"/>
          <w:i w:val="0"/>
        </w:rPr>
        <w:t>(</w:t>
      </w:r>
      <w:r>
        <w:rPr>
          <w:b/>
          <w:i w:val="0"/>
        </w:rPr>
        <w:t>UE</w:t>
      </w:r>
      <w:r>
        <w:rPr>
          <w:b w:val="0"/>
          <w:i w:val="0"/>
        </w:rPr>
        <w:t>).</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Siglas</w:t>
      </w:r>
      <w:r>
        <w:rPr>
          <w:b w:val="0"/>
          <w:i w:val="0"/>
        </w:rPr>
        <w:t>: la técnica de evaluación y revisión de programas (</w:t>
      </w:r>
      <w:r>
        <w:rPr>
          <w:b/>
          <w:i w:val="0"/>
        </w:rPr>
        <w:t>PERT</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r>
      <w:r>
        <w:rPr>
          <w:b/>
          <w:i w:val="0"/>
        </w:rPr>
        <w:t>Siglas</w:t>
      </w:r>
      <w:r>
        <w:rPr>
          <w:b w:val="0"/>
          <w:i w:val="0"/>
        </w:rPr>
        <w:t>: la codificación avanzada de vídeo (</w:t>
      </w:r>
      <w:r>
        <w:rPr>
          <w:b/>
          <w:i w:val="0"/>
        </w:rPr>
        <w:t>AVC</w:t>
      </w:r>
      <w:r>
        <w:rPr>
          <w:b w:val="0"/>
          <w:i w:val="0"/>
        </w:rPr>
        <w:t>); la especificación de la iniciativa de cine</w:t>
      </w:r>
      <w:r>
        <w:t xml:space="preserve"> </w:t>
      </w:r>
      <w:r>
        <w:rPr>
          <w:b w:val="0"/>
          <w:i w:val="0"/>
        </w:rPr>
        <w:t>digital (</w:t>
      </w:r>
      <w:r>
        <w:rPr>
          <w:b/>
          <w:i w:val="0"/>
        </w:rPr>
        <w:t>DCI</w:t>
      </w:r>
      <w:r>
        <w:rPr>
          <w:b w:val="0"/>
          <w:i w:val="0"/>
        </w:rPr>
        <w:t xml:space="preserve">), </w:t>
      </w:r>
      <w:r>
        <w:rPr>
          <w:b/>
          <w:i w:val="0"/>
        </w:rPr>
        <w:t>que el enunciado cita y no se ha podido consultar</w:t>
      </w:r>
      <w:r>
        <w:rPr>
          <w:b w:val="0"/>
          <w:i w:val="0"/>
        </w:rPr>
        <w:t>; el formato profesional de</w:t>
      </w:r>
      <w:r>
        <w:t xml:space="preserve"> </w:t>
      </w:r>
      <w:r>
        <w:rPr>
          <w:b w:val="0"/>
          <w:i w:val="0"/>
        </w:rPr>
        <w:t>vídeo digital (</w:t>
      </w:r>
      <w:r>
        <w:rPr>
          <w:b/>
          <w:i w:val="0"/>
        </w:rPr>
        <w:t>DVCPRO</w:t>
      </w:r>
      <w:r>
        <w:rPr>
          <w:b w:val="0"/>
          <w:i w:val="0"/>
        </w:rPr>
        <w:t>); el formato de grabación en disco óptico (</w:t>
      </w:r>
      <w:r>
        <w:rPr>
          <w:b/>
          <w:i w:val="0"/>
        </w:rPr>
        <w:t>XDCAM</w:t>
      </w:r>
      <w:r>
        <w:rPr>
          <w:b w:val="0"/>
          <w:i w:val="0"/>
        </w:rPr>
        <w:t>) y su variante en</w:t>
      </w:r>
      <w:r>
        <w:t xml:space="preserve"> </w:t>
      </w:r>
      <w:r>
        <w:rPr>
          <w:b w:val="0"/>
          <w:i w:val="0"/>
        </w:rPr>
        <w:t>memoria (</w:t>
      </w:r>
      <w:r>
        <w:rPr>
          <w:b/>
          <w:i w:val="0"/>
        </w:rPr>
        <w:t>XDCAM EX</w:t>
      </w:r>
      <w:r>
        <w:rPr>
          <w:b w:val="0"/>
          <w:i w:val="0"/>
        </w:rPr>
        <w:t>); la elevada gama dinámica (</w:t>
      </w:r>
      <w:r>
        <w:rPr>
          <w:b/>
          <w:i w:val="0"/>
        </w:rPr>
        <w:t>HDR</w:t>
      </w:r>
      <w:r>
        <w:rPr>
          <w:b w:val="0"/>
          <w:i w:val="0"/>
        </w:rPr>
        <w:t xml:space="preserve">, </w:t>
      </w:r>
      <w:r>
        <w:rPr>
          <w:b w:val="0"/>
          <w:i/>
        </w:rPr>
        <w:t>high dynamic range</w:t>
      </w:r>
      <w:r>
        <w:rPr>
          <w:b w:val="0"/>
          <w:i w:val="0"/>
        </w:rPr>
        <w:t>); y la cuantización</w:t>
      </w:r>
      <w:r>
        <w:t xml:space="preserve"> </w:t>
      </w:r>
      <w:r>
        <w:rPr>
          <w:b w:val="0"/>
          <w:i w:val="0"/>
        </w:rPr>
        <w:t>perceptiva (</w:t>
      </w:r>
      <w:r>
        <w:rPr>
          <w:b/>
          <w:i w:val="0"/>
        </w:rPr>
        <w:t>PQ</w:t>
      </w:r>
      <w:r>
        <w:rPr>
          <w:b w:val="0"/>
          <w:i w:val="0"/>
        </w:rPr>
        <w:t xml:space="preserve">, </w:t>
      </w:r>
      <w:r>
        <w:rPr>
          <w:b w:val="0"/>
          <w:i/>
        </w:rPr>
        <w:t>perceptual quantization</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Siglas</w:t>
      </w:r>
      <w:r>
        <w:rPr>
          <w:b w:val="0"/>
          <w:i w:val="0"/>
        </w:rPr>
        <w:t>: la tarjeta digital segura de alta capacidad (</w:t>
      </w:r>
      <w:r>
        <w:rPr>
          <w:b/>
          <w:i w:val="0"/>
        </w:rPr>
        <w:t>SDHC</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el multiplexado digital de iluminación (</w:t>
      </w:r>
      <w:r>
        <w:rPr>
          <w:b/>
          <w:i w:val="0"/>
        </w:rPr>
        <w:t>DMX</w:t>
      </w:r>
      <w:r>
        <w:rPr>
          <w:b w:val="0"/>
          <w:i w:val="0"/>
        </w:rPr>
        <w:t xml:space="preserve">, </w:t>
      </w:r>
      <w:r>
        <w:rPr>
          <w:b w:val="0"/>
          <w:i/>
        </w:rPr>
        <w:t>digital multiplex</w:t>
      </w:r>
      <w:r>
        <w:rPr>
          <w:b w:val="0"/>
          <w:i w:val="0"/>
        </w:rPr>
        <w:t>); el diodo emisor</w:t>
      </w:r>
      <w:r>
        <w:t xml:space="preserve"> </w:t>
      </w:r>
      <w:r>
        <w:rPr>
          <w:b w:val="0"/>
          <w:i w:val="0"/>
        </w:rPr>
        <w:t>de luz (</w:t>
      </w:r>
      <w:r>
        <w:rPr>
          <w:b/>
          <w:i w:val="0"/>
        </w:rPr>
        <w:t>LED</w:t>
      </w:r>
      <w:r>
        <w:rPr>
          <w:b w:val="0"/>
          <w:i w:val="0"/>
        </w:rPr>
        <w:t xml:space="preserve">); y </w:t>
      </w:r>
      <w:r>
        <w:rPr>
          <w:b/>
          <w:i w:val="0"/>
        </w:rPr>
        <w:t>ORAD</w:t>
      </w:r>
      <w:r>
        <w:rPr>
          <w:b w:val="0"/>
          <w:i w:val="0"/>
        </w:rPr>
        <w:t xml:space="preserve">, el sistema de patrones que </w:t>
      </w:r>
      <w:r>
        <w:rPr>
          <w:b/>
          <w:i w:val="0"/>
        </w:rPr>
        <w:t>la plantilla escribe así, sin</w:t>
      </w:r>
      <w:r>
        <w:t xml:space="preserve"> </w:t>
      </w:r>
      <w:r>
        <w:rPr>
          <w:b/>
          <w:i w:val="0"/>
        </w:rPr>
        <w:t>desarrollarlo</w:t>
      </w:r>
      <w:r>
        <w:rPr>
          <w:b w:val="0"/>
          <w:i w:val="0"/>
        </w:rPr>
        <w:t>, y del que este esquema tampoco da forma larga.</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w:t>
      </w:r>
      <w:r>
        <w:rPr>
          <w:b/>
          <w:i w:val="0"/>
        </w:rPr>
        <w:t>cable balanceado con conector de</w:t>
      </w:r>
      <w:r>
        <w:t xml:space="preserve"> </w:t>
      </w:r>
      <w:r>
        <w:rPr>
          <w:b/>
          <w:i w:val="0"/>
        </w:rPr>
        <w:t>tres contactos</w:t>
      </w:r>
      <w:r>
        <w:rPr>
          <w:b w:val="0"/>
          <w:i w:val="0"/>
        </w:rPr>
        <w:t xml:space="preserve">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el Comité Consultivo Internacional de Radiocomunicaciones (</w:t>
      </w:r>
      <w:r>
        <w:rPr>
          <w:b/>
          <w:i w:val="0"/>
        </w:rPr>
        <w:t>CCIR</w:t>
      </w:r>
      <w:r>
        <w:rPr>
          <w:b w:val="0"/>
          <w:i w:val="0"/>
        </w:rPr>
        <w:t>), de cuya norma 601</w:t>
      </w:r>
      <w:r>
        <w:t xml:space="preserve"> </w:t>
      </w:r>
      <w:r>
        <w:rPr>
          <w:b w:val="0"/>
          <w:i w:val="0"/>
        </w:rPr>
        <w:t>se habla; la elevada gama dinámica (</w:t>
      </w:r>
      <w:r>
        <w:rPr>
          <w:b/>
          <w:i w:val="0"/>
        </w:rPr>
        <w:t>HDR</w:t>
      </w:r>
      <w:r>
        <w:rPr>
          <w:b w:val="0"/>
          <w:i w:val="0"/>
        </w:rPr>
        <w:t xml:space="preserve">, </w:t>
      </w:r>
      <w:r>
        <w:rPr>
          <w:b w:val="0"/>
          <w:i/>
        </w:rPr>
        <w:t>high dynamic range</w:t>
      </w:r>
      <w:r>
        <w:rPr>
          <w:b w:val="0"/>
          <w:i w:val="0"/>
        </w:rPr>
        <w:t>); el híbrido log-gamma (</w:t>
      </w:r>
      <w:r>
        <w:rPr>
          <w:b/>
          <w:i w:val="0"/>
        </w:rPr>
        <w:t>HLG</w:t>
      </w:r>
      <w:r>
        <w:rPr>
          <w:b w:val="0"/>
          <w:i w:val="0"/>
        </w:rPr>
        <w:t>);</w:t>
      </w:r>
      <w:r>
        <w:t xml:space="preserve"> </w:t>
      </w:r>
      <w:r>
        <w:rPr>
          <w:b w:val="0"/>
          <w:i w:val="0"/>
        </w:rPr>
        <w:t>la cuantización perceptiva (</w:t>
      </w:r>
      <w:r>
        <w:rPr>
          <w:b/>
          <w:i w:val="0"/>
        </w:rPr>
        <w:t>PQ</w:t>
      </w:r>
      <w:r>
        <w:rPr>
          <w:b w:val="0"/>
          <w:i w:val="0"/>
        </w:rPr>
        <w:t>); y el conector de audio de tres contactos (</w:t>
      </w:r>
      <w:r>
        <w:rPr>
          <w:b/>
          <w:i w:val="0"/>
        </w:rPr>
        <w:t>XLR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Siglas</w:t>
      </w:r>
      <w:r>
        <w:rPr>
          <w:b w:val="0"/>
          <w:i w:val="0"/>
        </w:rPr>
        <w:t>: la interfaz digital de audio multicanal (</w:t>
      </w:r>
      <w:r>
        <w:rPr>
          <w:b/>
          <w:i w:val="0"/>
        </w:rPr>
        <w:t>MADI</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r>
      <w:r>
        <w:rPr>
          <w:b/>
          <w:i w:val="0"/>
        </w:rPr>
        <w:t>Siglas</w:t>
      </w:r>
      <w:r>
        <w:rPr>
          <w:b w:val="0"/>
          <w:i w:val="0"/>
        </w:rPr>
        <w:t>: el periodismo electrónico digital por satélite (</w:t>
      </w:r>
      <w:r>
        <w:rPr>
          <w:b/>
          <w:i w:val="0"/>
        </w:rPr>
        <w:t>DSNG</w:t>
      </w:r>
      <w:r>
        <w:rPr>
          <w:b w:val="0"/>
          <w:i w:val="0"/>
        </w:rPr>
        <w:t xml:space="preserve">, </w:t>
      </w:r>
      <w:r>
        <w:rPr>
          <w:b w:val="0"/>
          <w:i/>
        </w:rPr>
        <w:t>digital satellite news</w:t>
      </w:r>
      <w:r>
        <w:t xml:space="preserve"> </w:t>
      </w:r>
      <w:r>
        <w:rPr>
          <w:b w:val="0"/>
          <w:i/>
        </w:rPr>
        <w:t>gathering</w:t>
      </w:r>
      <w:r>
        <w:rPr>
          <w:b w:val="0"/>
          <w:i w:val="0"/>
        </w:rPr>
        <w:t>); la difusión de vídeo digital (</w:t>
      </w:r>
      <w:r>
        <w:rPr>
          <w:b/>
          <w:i w:val="0"/>
        </w:rPr>
        <w:t>DVB</w:t>
      </w:r>
      <w:r>
        <w:rPr>
          <w:b w:val="0"/>
          <w:i w:val="0"/>
        </w:rPr>
        <w:t>); la fibra hasta el edificio (</w:t>
      </w:r>
      <w:r>
        <w:rPr>
          <w:b/>
          <w:i w:val="0"/>
        </w:rPr>
        <w:t>FTTB</w:t>
      </w:r>
      <w:r>
        <w:rPr>
          <w:b w:val="0"/>
          <w:i w:val="0"/>
        </w:rPr>
        <w:t>), hasta la</w:t>
      </w:r>
      <w:r>
        <w:t xml:space="preserve"> </w:t>
      </w:r>
      <w:r>
        <w:rPr>
          <w:b w:val="0"/>
          <w:i w:val="0"/>
        </w:rPr>
        <w:t>acometida (</w:t>
      </w:r>
      <w:r>
        <w:rPr>
          <w:b/>
          <w:i w:val="0"/>
        </w:rPr>
        <w:t>FTTC</w:t>
      </w:r>
      <w:r>
        <w:rPr>
          <w:b w:val="0"/>
          <w:i w:val="0"/>
        </w:rPr>
        <w:t>) y hasta la vivienda (</w:t>
      </w:r>
      <w:r>
        <w:rPr>
          <w:b/>
          <w:i w:val="0"/>
        </w:rPr>
        <w:t>FTTH</w:t>
      </w:r>
      <w:r>
        <w:rPr>
          <w:b w:val="0"/>
          <w:i w:val="0"/>
        </w:rPr>
        <w:t>); el protocolo de internet (</w:t>
      </w:r>
      <w:r>
        <w:rPr>
          <w:b/>
          <w:i w:val="0"/>
        </w:rPr>
        <w:t>IP</w:t>
      </w:r>
      <w:r>
        <w:rPr>
          <w:b w:val="0"/>
          <w:i w:val="0"/>
        </w:rPr>
        <w:t>); la órbita</w:t>
      </w:r>
      <w:r>
        <w:t xml:space="preserve"> </w:t>
      </w:r>
      <w:r>
        <w:rPr>
          <w:b w:val="0"/>
          <w:i w:val="0"/>
        </w:rPr>
        <w:t>baja (</w:t>
      </w:r>
      <w:r>
        <w:rPr>
          <w:b/>
          <w:i w:val="0"/>
        </w:rPr>
        <w:t>LEO</w:t>
      </w:r>
      <w:r>
        <w:rPr>
          <w:b w:val="0"/>
          <w:i w:val="0"/>
        </w:rPr>
        <w:t>) y la media (</w:t>
      </w:r>
      <w:r>
        <w:rPr>
          <w:b/>
          <w:i w:val="0"/>
        </w:rPr>
        <w:t>MEO</w:t>
      </w:r>
      <w:r>
        <w:rPr>
          <w:b w:val="0"/>
          <w:i w:val="0"/>
        </w:rPr>
        <w:t>); la Sociedad de Ingenieros de Cine y Televisión (</w:t>
      </w:r>
      <w:r>
        <w:rPr>
          <w:b/>
          <w:i w:val="0"/>
        </w:rPr>
        <w:t>SMPTE</w:t>
      </w:r>
      <w:r>
        <w:rPr>
          <w:b w:val="0"/>
          <w:i w:val="0"/>
        </w:rPr>
        <w:t>); y</w:t>
      </w:r>
      <w:r>
        <w:t xml:space="preserve"> </w:t>
      </w:r>
      <w:r>
        <w:rPr>
          <w:b w:val="0"/>
          <w:i w:val="0"/>
        </w:rPr>
        <w:t>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2.949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donde el indicativo de España</w:t>
      </w:r>
      <w:r>
        <w:t xml:space="preserve"> </w:t>
      </w:r>
      <w:r>
        <w:rPr>
          <w:b w:val="0"/>
          <w:i w:val="0"/>
        </w:rPr>
        <w:t>(</w:t>
      </w:r>
      <w:r>
        <w:rPr>
          <w:b/>
          <w:i w:val="0"/>
        </w:rPr>
        <w:t>LE</w:t>
      </w:r>
      <w:r>
        <w:rPr>
          <w:b w:val="0"/>
          <w:i w:val="0"/>
        </w:rPr>
        <w:t xml:space="preserve">) va delante y </w:t>
      </w:r>
      <w:r>
        <w:rPr>
          <w:b/>
          <w:i w:val="0"/>
        </w:rPr>
        <w:t>D</w:t>
      </w:r>
      <w:r>
        <w:rPr>
          <w:b w:val="0"/>
          <w:i w:val="0"/>
        </w:rPr>
        <w:t xml:space="preserve"> es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r>
      <w:r>
        <w:rPr>
          <w:b/>
          <w:i w:val="0"/>
        </w:rPr>
        <w:t>Siglas</w:t>
      </w:r>
      <w:r>
        <w:rPr>
          <w:b w:val="0"/>
          <w:i w:val="0"/>
        </w:rPr>
        <w:t>: la autoridad aeronáutica española (</w:t>
      </w:r>
      <w:r>
        <w:rPr>
          <w:b/>
          <w:i w:val="0"/>
        </w:rPr>
        <w:t>AESA</w:t>
      </w:r>
      <w:r>
        <w:rPr>
          <w:b w:val="0"/>
          <w:i w:val="0"/>
        </w:rPr>
        <w:t>); los sistemas de aeronave no tripulada</w:t>
      </w:r>
      <w:r>
        <w:t xml:space="preserve"> </w:t>
      </w:r>
      <w:r>
        <w:rPr>
          <w:b w:val="0"/>
          <w:i w:val="0"/>
        </w:rPr>
        <w:t>(</w:t>
      </w:r>
      <w:r>
        <w:rPr>
          <w:b/>
          <w:i w:val="0"/>
        </w:rPr>
        <w:t>UAS</w:t>
      </w:r>
      <w:r>
        <w:rPr>
          <w:b w:val="0"/>
          <w:i w:val="0"/>
        </w:rPr>
        <w:t xml:space="preserve">), como los llama el Reglamento (UE) 2019/947; y </w:t>
      </w:r>
      <w:r>
        <w:rPr>
          <w:b/>
          <w:i w:val="0"/>
        </w:rPr>
        <w:t>PXW</w:t>
      </w:r>
      <w:r>
        <w:rPr>
          <w:b w:val="0"/>
          <w:i w:val="0"/>
        </w:rPr>
        <w:t xml:space="preserve"> y </w:t>
      </w:r>
      <w:r>
        <w:rPr>
          <w:b/>
          <w:i w:val="0"/>
        </w:rPr>
        <w:t>ZV</w:t>
      </w:r>
      <w:r>
        <w:rPr>
          <w:b w:val="0"/>
          <w:i w:val="0"/>
        </w:rPr>
        <w:t>, que son designaciones de</w:t>
      </w:r>
      <w:r>
        <w:t xml:space="preserve"> </w:t>
      </w:r>
      <w:r>
        <w:rPr>
          <w:b w:val="0"/>
          <w:i w:val="0"/>
        </w:rPr>
        <w:t xml:space="preserve">familia de producto de un fabricante y </w:t>
      </w:r>
      <w:r>
        <w:rPr>
          <w:b/>
          <w:i w:val="0"/>
        </w:rPr>
        <w:t>no siglas que este esquema desarrolle</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gestor aeroportuario (</w:t>
      </w:r>
      <w:r>
        <w:rPr>
          <w:b/>
          <w:i w:val="0"/>
        </w:rPr>
        <w:t>AENA</w:t>
      </w:r>
      <w:r>
        <w:rPr>
          <w:b w:val="0"/>
          <w:i w:val="0"/>
        </w:rPr>
        <w:t>); la agencia de la Unión para la</w:t>
      </w:r>
      <w:r>
        <w:t xml:space="preserve"> </w:t>
      </w:r>
      <w:r>
        <w:rPr>
          <w:b w:val="0"/>
          <w:i w:val="0"/>
        </w:rPr>
        <w:t>seguridad aérea (</w:t>
      </w:r>
      <w:r>
        <w:rPr>
          <w:b/>
          <w:i w:val="0"/>
        </w:rPr>
        <w:t>EASA</w:t>
      </w:r>
      <w:r>
        <w:rPr>
          <w:b w:val="0"/>
          <w:i w:val="0"/>
        </w:rPr>
        <w:t>); la etiqueta de zona que el examen pregunta (</w:t>
      </w:r>
      <w:r>
        <w:rPr>
          <w:b/>
          <w:i w:val="0"/>
        </w:rPr>
        <w:t>LED</w:t>
      </w:r>
      <w:r>
        <w:rPr>
          <w:b w:val="0"/>
          <w:i w:val="0"/>
        </w:rPr>
        <w:t>); la sociedad</w:t>
      </w:r>
      <w:r>
        <w:t xml:space="preserve"> </w:t>
      </w:r>
      <w:r>
        <w:rPr>
          <w:b w:val="0"/>
          <w:i w:val="0"/>
        </w:rPr>
        <w:t>estatal de servicios y estudios para la navegación aérea (</w:t>
      </w:r>
      <w:r>
        <w:rPr>
          <w:b/>
          <w:i w:val="0"/>
        </w:rPr>
        <w:t>SENASA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r>
      <w:r>
        <w:rPr>
          <w:b/>
          <w:i w:val="0"/>
        </w:rPr>
        <w:t>Siglas</w:t>
      </w:r>
      <w:r>
        <w:rPr>
          <w:b w:val="0"/>
          <w:i w:val="0"/>
        </w:rPr>
        <w:t>: los cuadernos de admisión temporal (</w:t>
      </w:r>
      <w:r>
        <w:rPr>
          <w:b/>
          <w:i w:val="0"/>
        </w:rPr>
        <w:t>ATA</w:t>
      </w:r>
      <w:r>
        <w:rPr>
          <w:b w:val="0"/>
          <w:i w:val="0"/>
        </w:rPr>
        <w:t>) y los de importación temporal de vehículos</w:t>
      </w:r>
      <w:r>
        <w:t xml:space="preserve"> </w:t>
      </w:r>
      <w:r>
        <w:rPr>
          <w:b w:val="0"/>
          <w:i w:val="0"/>
        </w:rPr>
        <w:t>(</w:t>
      </w:r>
      <w:r>
        <w:rPr>
          <w:b/>
          <w:i w:val="0"/>
        </w:rPr>
        <w:t>CPD</w:t>
      </w:r>
      <w:r>
        <w:rPr>
          <w:b w:val="0"/>
          <w:i w:val="0"/>
        </w:rPr>
        <w:t>), así nombrados por el anexo A del convenio; las oficinas de prensa del Gobierno de Israel</w:t>
      </w:r>
      <w:r>
        <w:t xml:space="preserve"> </w:t>
      </w:r>
      <w:r>
        <w:rPr>
          <w:b w:val="0"/>
          <w:i w:val="0"/>
        </w:rPr>
        <w:t>(</w:t>
      </w:r>
      <w:r>
        <w:rPr>
          <w:b/>
          <w:i w:val="0"/>
        </w:rPr>
        <w:t>GPO</w:t>
      </w:r>
      <w:r>
        <w:rPr>
          <w:b w:val="0"/>
          <w:i w:val="0"/>
        </w:rPr>
        <w:t>) y sus homólogas que el examen ofrece como opciones falsas (</w:t>
      </w:r>
      <w:r>
        <w:rPr>
          <w:b/>
          <w:i w:val="0"/>
        </w:rPr>
        <w:t>IPO</w:t>
      </w:r>
      <w:r>
        <w:rPr>
          <w:b w:val="0"/>
          <w:i w:val="0"/>
        </w:rPr>
        <w:t xml:space="preserve">, </w:t>
      </w:r>
      <w:r>
        <w:rPr>
          <w:b/>
          <w:i w:val="0"/>
        </w:rPr>
        <w:t>JPO</w:t>
      </w:r>
      <w:r>
        <w:rPr>
          <w:b w:val="0"/>
          <w:i w:val="0"/>
        </w:rPr>
        <w:t xml:space="preserve"> y </w:t>
      </w:r>
      <w:r>
        <w:rPr>
          <w:b/>
          <w:i w:val="0"/>
        </w:rPr>
        <w:t>CPO</w:t>
      </w:r>
      <w:r>
        <w:rPr>
          <w:b w:val="0"/>
          <w:i w:val="0"/>
        </w:rPr>
        <w:t>),</w:t>
      </w:r>
      <w:r>
        <w:t xml:space="preserve"> </w:t>
      </w:r>
      <w:r>
        <w:rPr>
          <w:b w:val="0"/>
          <w:i w:val="0"/>
        </w:rPr>
      </w:r>
      <w:r>
        <w:rPr>
          <w:b/>
          <w:i w:val="0"/>
        </w:rPr>
        <w:t>cuyas formas largas este esquema no da porque no las ha verificado</w:t>
      </w:r>
      <w:r>
        <w:rPr>
          <w:b w:val="0"/>
          <w:i w:val="0"/>
        </w:rPr>
        <w:t>; el impuesto sobre el valor</w:t>
      </w:r>
      <w:r>
        <w:t xml:space="preserve"> </w:t>
      </w:r>
      <w:r>
        <w:rPr>
          <w:b w:val="0"/>
          <w:i w:val="0"/>
        </w:rPr>
        <w:t>añadido (</w:t>
      </w:r>
      <w:r>
        <w:rPr>
          <w:b/>
          <w:i w:val="0"/>
        </w:rPr>
        <w:t>IVA</w:t>
      </w:r>
      <w:r>
        <w:rPr>
          <w:b w:val="0"/>
          <w:i w:val="0"/>
        </w:rPr>
        <w:t>); el bono de cargos varios (</w:t>
      </w:r>
      <w:r>
        <w:rPr>
          <w:b/>
          <w:i w:val="0"/>
        </w:rPr>
        <w:t>MCO</w:t>
      </w:r>
      <w:r>
        <w:rPr>
          <w:b w:val="0"/>
          <w:i w:val="0"/>
        </w:rPr>
        <w:t xml:space="preserve">, </w:t>
      </w:r>
      <w:r>
        <w:rPr>
          <w:b w:val="0"/>
          <w:i/>
        </w:rPr>
        <w:t>miscellaneous charge order</w:t>
      </w:r>
      <w:r>
        <w:rPr>
          <w:b w:val="0"/>
          <w:i w:val="0"/>
        </w:rPr>
        <w:t>); y la</w:t>
      </w:r>
      <w:r>
        <w:t xml:space="preserve"> </w:t>
      </w:r>
      <w:r>
        <w:rPr>
          <w:b w:val="0"/>
          <w:i w:val="0"/>
        </w:rPr>
        <w:t>Organización de las Naciones Unidas (</w:t>
      </w:r>
      <w:r>
        <w:rPr>
          <w:b/>
          <w:i w:val="0"/>
        </w:rPr>
        <w:t>ONU</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cuaderno de admisión temporal de mercancías (</w:t>
      </w:r>
      <w:r>
        <w:rPr>
          <w:b/>
          <w:i w:val="0"/>
        </w:rPr>
        <w:t>ATA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r>
      <w:r>
        <w:rPr>
          <w:b/>
          <w:i w:val="0"/>
        </w:rPr>
        <w:t>Siglas</w:t>
      </w:r>
      <w:r>
        <w:rPr>
          <w:b w:val="0"/>
          <w:i w:val="0"/>
        </w:rPr>
        <w:t>: la Unión Europea de Radiodifusión (</w:t>
      </w:r>
      <w:r>
        <w:rPr>
          <w:b/>
          <w:i w:val="0"/>
        </w:rPr>
        <w:t>UER</w:t>
      </w:r>
      <w:r>
        <w:rPr>
          <w:b w:val="0"/>
          <w:i w:val="0"/>
        </w:rPr>
        <w:t>) y la Unión Internacional de</w:t>
      </w:r>
      <w:r>
        <w:t xml:space="preserve"> </w:t>
      </w:r>
      <w:r>
        <w:rPr>
          <w:b w:val="0"/>
          <w:i w:val="0"/>
        </w:rPr>
        <w:t>Telecomunicaciones, que el enunciado escribe con sus dos siglas (</w:t>
      </w:r>
      <w:r>
        <w:rPr>
          <w:b/>
          <w:i w:val="0"/>
        </w:rPr>
        <w:t>ITU</w:t>
      </w:r>
      <w:r>
        <w:rPr>
          <w:b w:val="0"/>
          <w:i w:val="0"/>
        </w:rPr>
        <w:t xml:space="preserve"> en inglés y </w:t>
      </w:r>
      <w:r>
        <w:rPr>
          <w:b/>
          <w:i w:val="0"/>
        </w:rPr>
        <w:t>UIT</w:t>
      </w:r>
      <w:r>
        <w:rPr>
          <w:b w:val="0"/>
          <w:i w:val="0"/>
        </w:rPr>
        <w:t xml:space="preserve"> en</w:t>
      </w:r>
      <w:r>
        <w:t xml:space="preserve"> </w:t>
      </w:r>
      <w:r>
        <w:rPr>
          <w:b w:val="0"/>
          <w:i w:val="0"/>
        </w:rPr>
        <w:t>español).</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Siglas</w:t>
      </w:r>
      <w:r>
        <w:rPr>
          <w:b w:val="0"/>
          <w:i w:val="0"/>
        </w:rPr>
        <w:t>: la Unión Europea de Radiodifusión en sus siglas inglesas (</w:t>
      </w:r>
      <w:r>
        <w:rPr>
          <w:b/>
          <w:i w:val="0"/>
        </w:rPr>
        <w:t>EBU</w:t>
      </w:r>
      <w:r>
        <w:rPr>
          <w:b w:val="0"/>
          <w:i w:val="0"/>
        </w:rPr>
        <w:t>); la</w:t>
      </w:r>
      <w:r>
        <w:t xml:space="preserve"> </w:t>
      </w:r>
      <w:r>
        <w:rPr>
          <w:b w:val="0"/>
          <w:i w:val="0"/>
        </w:rPr>
        <w:t>red de intercambio de noticias (</w:t>
      </w:r>
      <w:r>
        <w:rPr>
          <w:b/>
          <w:i w:val="0"/>
        </w:rPr>
        <w:t>ENEX</w:t>
      </w:r>
      <w:r>
        <w:rPr>
          <w:b w:val="0"/>
          <w:i w:val="0"/>
        </w:rPr>
        <w:t>); la federación de las autonómicas (</w:t>
      </w:r>
      <w:r>
        <w:rPr>
          <w:b/>
          <w:i w:val="0"/>
        </w:rPr>
        <w:t>FORTA</w:t>
      </w:r>
      <w:r>
        <w:rPr>
          <w:b w:val="0"/>
          <w:i w:val="0"/>
        </w:rPr>
        <w:t>); la unión de</w:t>
      </w:r>
      <w:r>
        <w:t xml:space="preserve"> </w:t>
      </w:r>
      <w:r>
        <w:rPr>
          <w:b w:val="0"/>
          <w:i w:val="0"/>
        </w:rPr>
        <w:t>las comerciales (</w:t>
      </w:r>
      <w:r>
        <w:rPr>
          <w:b/>
          <w:i w:val="0"/>
        </w:rPr>
        <w:t>UTECA</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r>
      <w:r>
        <w:rPr>
          <w:b/>
          <w:i w:val="0"/>
        </w:rPr>
        <w:t>Siglas</w:t>
      </w:r>
      <w:r>
        <w:rPr>
          <w:b w:val="0"/>
          <w:i w:val="0"/>
        </w:rPr>
        <w:t>: la agencia estadounidense The Associated Press (</w:t>
      </w:r>
      <w:r>
        <w:rPr>
          <w:b/>
          <w:i w:val="0"/>
        </w:rPr>
        <w:t>AP</w:t>
      </w:r>
      <w:r>
        <w:rPr>
          <w:b w:val="0"/>
          <w:i w:val="0"/>
        </w:rPr>
        <w:t>); la Agencia EFE (</w:t>
      </w:r>
      <w:r>
        <w:rPr>
          <w:b/>
          <w:i w:val="0"/>
        </w:rPr>
        <w:t>EFE</w:t>
      </w:r>
      <w:r>
        <w:rPr>
          <w:b w:val="0"/>
          <w:i w:val="0"/>
        </w:rPr>
        <w:t>), cuya</w:t>
      </w:r>
      <w:r>
        <w:t xml:space="preserve"> </w:t>
      </w:r>
      <w:r>
        <w:rPr>
          <w:b w:val="0"/>
          <w:i w:val="0"/>
        </w:rPr>
        <w:t xml:space="preserve">página </w:t>
      </w:r>
      <w:r>
        <w:rPr>
          <w:b/>
          <w:i w:val="0"/>
        </w:rPr>
        <w:t>no se ha podido consultar</w:t>
      </w:r>
      <w:r>
        <w:rPr>
          <w:b w:val="0"/>
          <w:i w:val="0"/>
        </w:rPr>
        <w:t xml:space="preserve">; e </w:t>
      </w:r>
      <w:r>
        <w:rPr>
          <w:b/>
          <w:i w:val="0"/>
        </w:rPr>
        <w:t>IMG</w:t>
      </w:r>
      <w:r>
        <w:rPr>
          <w:b w:val="0"/>
          <w:i w:val="0"/>
        </w:rPr>
        <w:t>, la casa con la que aquélla formó una empresa</w:t>
      </w:r>
      <w:r>
        <w:t xml:space="preserve"> </w:t>
      </w:r>
      <w:r>
        <w:rPr>
          <w:b w:val="0"/>
          <w:i w:val="0"/>
        </w:rPr>
        <w:t xml:space="preserve">conjunta, </w:t>
      </w:r>
      <w:r>
        <w:rPr>
          <w:b/>
          <w:i w:val="0"/>
        </w:rPr>
        <w:t>cuya forma larga este esquema no da porque no la ha verificado</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Siglas</w:t>
      </w:r>
      <w:r>
        <w:rPr>
          <w:b w:val="0"/>
          <w:i w:val="0"/>
        </w:rPr>
        <w:t>: una de las cuatro agencias que ofrece la pregunta (</w:t>
      </w:r>
      <w:r>
        <w:rPr>
          <w:b/>
          <w:i w:val="0"/>
        </w:rPr>
        <w:t>ACN</w:t>
      </w:r>
      <w:r>
        <w:rPr>
          <w:b w:val="0"/>
          <w:i w:val="0"/>
        </w:rPr>
        <w:t>), cuya</w:t>
      </w:r>
      <w:r>
        <w:t xml:space="preserve"> </w:t>
      </w:r>
      <w:r>
        <w:rPr>
          <w:b w:val="0"/>
          <w:i w:val="0"/>
        </w:rPr>
        <w:t>forma larga este esquema no da porque no la ha verificado; un grupo de canales deportivos</w:t>
      </w:r>
      <w:r>
        <w:t xml:space="preserve"> </w:t>
      </w:r>
      <w:r>
        <w:rPr>
          <w:b w:val="0"/>
          <w:i w:val="0"/>
        </w:rPr>
        <w:t>(</w:t>
      </w:r>
      <w:r>
        <w:rPr>
          <w:b/>
          <w:i w:val="0"/>
        </w:rPr>
        <w:t>ESPN</w:t>
      </w:r>
      <w:r>
        <w:rPr>
          <w:b w:val="0"/>
          <w:i w:val="0"/>
        </w:rPr>
        <w:t>); la agencia de vídeo deportivo (</w:t>
      </w:r>
      <w:r>
        <w:rPr>
          <w:b/>
          <w:i w:val="0"/>
        </w:rPr>
        <w:t>SNTV</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r>
      <w:r>
        <w:rPr>
          <w:b/>
          <w:i w:val="0"/>
        </w:rPr>
        <w:t>Siglas</w:t>
      </w:r>
      <w:r>
        <w:rPr>
          <w:b w:val="0"/>
          <w:i w:val="0"/>
        </w:rPr>
        <w:t>: la Conferencia de Rectores de las Universidades Españolas (</w:t>
      </w:r>
      <w:r>
        <w:rPr>
          <w:b/>
          <w:i w:val="0"/>
        </w:rPr>
        <w:t>CRUE</w:t>
      </w:r>
      <w:r>
        <w:rPr>
          <w:b w:val="0"/>
          <w:i w:val="0"/>
        </w:rPr>
        <w:t>); la Entidad</w:t>
      </w:r>
      <w:r>
        <w:t xml:space="preserve"> </w:t>
      </w:r>
      <w:r>
        <w:rPr>
          <w:b w:val="0"/>
          <w:i w:val="0"/>
        </w:rPr>
        <w:t>Nacional de Acreditación (</w:t>
      </w:r>
      <w:r>
        <w:rPr>
          <w:b/>
          <w:i w:val="0"/>
        </w:rPr>
        <w:t>ENAC</w:t>
      </w:r>
      <w:r>
        <w:rPr>
          <w:b w:val="0"/>
          <w:i w:val="0"/>
        </w:rPr>
        <w:t>); y la Federación Española de Municipios y Provincias (</w:t>
      </w:r>
      <w:r>
        <w:rPr>
          <w:b/>
          <w:i w:val="0"/>
        </w:rPr>
        <w:t>FEMP</w:t>
      </w:r>
      <w:r>
        <w:rPr>
          <w:b w:val="0"/>
          <w:i w:val="0"/>
        </w:rPr>
        <w:t>).</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