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226 preguntas reales de examen</w:t>
      </w:r>
    </w:p>
    <w:p>
      <w:pPr>
        <w:pStyle w:val="Portadadato"/>
      </w:pPr>
      <w:r>
        <w:t>Generado el 05/09/2026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7.656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dos cifras oficiales, y las dos son correctas</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publica otra cifra para el mismo trimestre.</w:t>
      </w:r>
      <w:r>
        <w:rPr>
          <w:b w:val="0"/>
          <w:i w:val="0"/>
        </w:rPr>
        <w:t xml:space="preserve"> La nota de prensa de la </w:t>
      </w:r>
      <w:r>
        <w:rPr>
          <w:b/>
          <w:i w:val="0"/>
        </w:rPr>
        <w:t>Encuesta de</w:t>
      </w:r>
      <w:r>
        <w:t xml:space="preserve"> </w:t>
      </w:r>
      <w:r>
        <w:rPr>
          <w:b/>
          <w:i w:val="0"/>
        </w:rPr>
        <w:t>Población Activa del segundo trimestre de 2024</w:t>
      </w:r>
      <w:r>
        <w:rPr>
          <w:b w:val="0"/>
          <w:i w:val="0"/>
        </w:rPr>
        <w:t xml:space="preserve">, publicada el </w:t>
      </w:r>
      <w:r>
        <w:rPr>
          <w:b/>
          <w:i w:val="0"/>
        </w:rPr>
        <w:t>26 de julio de 2024</w:t>
      </w:r>
      <w:r>
        <w:rPr>
          <w:b w:val="0"/>
          <w:i w:val="0"/>
        </w:rPr>
        <w:t>, dice, en sus</w:t>
      </w:r>
      <w:r>
        <w:t xml:space="preserve"> </w:t>
      </w:r>
      <w:r>
        <w:rPr>
          <w:b w:val="0"/>
          <w:i w:val="0"/>
        </w:rPr>
        <w:t>«principales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De dónde sale el 11,4 %, que es la clave del punto.</w:t>
      </w:r>
      <w:r>
        <w:rPr>
          <w:b w:val="0"/>
          <w:i w:val="0"/>
        </w:rPr>
        <w:t xml:space="preserve"> </w:t>
      </w:r>
      <w:r>
        <w:rPr>
          <w:b/>
          <w:i w:val="0"/>
        </w:rPr>
        <w:t>No es una errata: es la MISMA encuesta</w:t>
      </w:r>
      <w:r>
        <w:t xml:space="preserve"> </w:t>
      </w:r>
      <w:r>
        <w:rPr>
          <w:b/>
          <w:i w:val="0"/>
        </w:rPr>
        <w:t>medida sobre otra población.</w:t>
      </w:r>
      <w:r>
        <w:rPr>
          <w:b w:val="0"/>
          <w:i w:val="0"/>
        </w:rPr>
        <w:t xml:space="preserve"> El </w:t>
      </w:r>
      <w:r>
        <w:rPr>
          <w:b/>
          <w:i w:val="0"/>
        </w:rPr>
        <w:t>Ministerio de Trabajo y Economía Social</w:t>
      </w:r>
      <w:r>
        <w:rPr>
          <w:b w:val="0"/>
          <w:i w:val="0"/>
        </w:rPr>
        <w:t xml:space="preserve"> publica cada trimestre</w:t>
      </w:r>
      <w:r>
        <w:t xml:space="preserve"> </w:t>
      </w:r>
      <w:r>
        <w:rPr>
          <w:b w:val="0"/>
          <w:i w:val="0"/>
        </w:rPr>
        <w:t xml:space="preserve">su propio análisis de la Encuesta de Población Activa, y </w:t>
      </w:r>
      <w:r>
        <w:rPr>
          <w:b/>
          <w:i w:val="0"/>
        </w:rPr>
        <w:t>la tasa que destaca no es la de toda la</w:t>
      </w:r>
      <w:r>
        <w:t xml:space="preserve"> </w:t>
      </w:r>
      <w:r>
        <w:rPr>
          <w:b/>
          <w:i w:val="0"/>
        </w:rPr>
        <w:t>población activa, sino la de las personas de 16 a 64 años</w:t>
      </w:r>
      <w:r>
        <w:rPr>
          <w:b w:val="0"/>
          <w:i w:val="0"/>
        </w:rPr>
        <w:t>. En ese informe, la del segundo trimestre</w:t>
      </w:r>
      <w:r>
        <w:t xml:space="preserve"> </w:t>
      </w:r>
      <w:r>
        <w:rPr>
          <w:b w:val="0"/>
          <w:i w:val="0"/>
        </w:rPr>
        <w:t xml:space="preserve">de 2024 es del </w:t>
      </w:r>
      <w:r>
        <w:rPr>
          <w:b/>
          <w:i w:val="0"/>
        </w:rPr>
        <w:t>11,4 %</w:t>
      </w:r>
      <w:r>
        <w:rPr>
          <w:b w:val="0"/>
          <w:i w:val="0"/>
        </w:rPr>
        <w:t>.</w:t>
      </w:r>
    </w:p>
    <w:p>
      <w:pPr/>
      <w:r>
        <w:rPr>
          <w:b w:val="0"/>
          <w:i w:val="0"/>
        </w:rPr>
      </w:r>
      <w:r>
        <w:rPr>
          <w:b/>
          <w:i w:val="0"/>
        </w:rPr>
        <w:t>Las dos cifras son oficiales, las dos salen de la misma encuesta y ninguna desmiente a la otra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Cifra</w:t>
            </w:r>
          </w:p>
        </w:tc>
        <w:tc>
          <w:tcPr>
            <w:tcW w:type="dxa" w:w="3137"/>
            <w:shd w:val="clear" w:color="auto" w:fill="E4E4E4"/>
          </w:tcPr>
          <w:p>
            <w:pPr>
              <w:pStyle w:val="Tablacabecera"/>
            </w:pPr>
            <w:r/>
            <w:r>
              <w:rPr>
                <w:b w:val="0"/>
                <w:i w:val="0"/>
              </w:rPr>
              <w:t>Quién la publica</w:t>
            </w:r>
          </w:p>
        </w:tc>
        <w:tc>
          <w:tcPr>
            <w:tcW w:type="dxa" w:w="3137"/>
            <w:shd w:val="clear" w:color="auto" w:fill="E4E4E4"/>
          </w:tcPr>
          <w:p>
            <w:pPr>
              <w:pStyle w:val="Tablacabecera"/>
            </w:pPr>
            <w:r/>
            <w:r>
              <w:rPr>
                <w:b w:val="0"/>
                <w:i w:val="0"/>
              </w:rPr>
              <w:t>Sobre qué población</w:t>
            </w:r>
          </w:p>
        </w:tc>
      </w:tr>
      <w:tr>
        <w:tc>
          <w:tcPr>
            <w:tcW w:type="dxa" w:w="3137"/>
          </w:tcPr>
          <w:p>
            <w:pPr>
              <w:pStyle w:val="Tabla"/>
            </w:pPr>
            <w:r/>
            <w:r>
              <w:rPr>
                <w:b w:val="0"/>
                <w:i w:val="0"/>
              </w:rPr>
            </w:r>
            <w:r>
              <w:rPr>
                <w:b/>
                <w:i w:val="0"/>
              </w:rPr>
              <w:t>11,27 %</w:t>
            </w:r>
            <w:r>
              <w:rPr>
                <w:b w:val="0"/>
                <w:i w:val="0"/>
              </w:rPr>
            </w:r>
          </w:p>
        </w:tc>
        <w:tc>
          <w:tcPr>
            <w:tcW w:type="dxa" w:w="3137"/>
          </w:tcPr>
          <w:p>
            <w:pPr>
              <w:pStyle w:val="Tabla"/>
            </w:pPr>
            <w:r/>
            <w:r>
              <w:rPr>
                <w:b w:val="0"/>
                <w:i w:val="0"/>
              </w:rPr>
            </w:r>
            <w:r>
              <w:rPr>
                <w:b/>
                <w:i w:val="0"/>
              </w:rPr>
              <w:t>INE</w:t>
            </w:r>
            <w:r>
              <w:rPr>
                <w:b w:val="0"/>
                <w:i w:val="0"/>
              </w:rPr>
              <w:t>, nota de prensa de la Encuesta de Población Activa</w:t>
            </w:r>
          </w:p>
        </w:tc>
        <w:tc>
          <w:tcPr>
            <w:tcW w:type="dxa" w:w="3137"/>
          </w:tcPr>
          <w:p>
            <w:pPr>
              <w:pStyle w:val="Tabla"/>
            </w:pPr>
            <w:r/>
            <w:r>
              <w:rPr>
                <w:b w:val="0"/>
                <w:i w:val="0"/>
              </w:rPr>
            </w:r>
            <w:r>
              <w:rPr>
                <w:b/>
                <w:i w:val="0"/>
              </w:rPr>
              <w:t>Toda la población activa</w:t>
            </w:r>
            <w:r>
              <w:rPr>
                <w:b w:val="0"/>
                <w:i w:val="0"/>
              </w:rPr>
              <w:t>, de 16 años en adelante</w:t>
            </w:r>
          </w:p>
        </w:tc>
      </w:tr>
      <w:tr>
        <w:tc>
          <w:tcPr>
            <w:tcW w:type="dxa" w:w="3137"/>
          </w:tcPr>
          <w:p>
            <w:pPr>
              <w:pStyle w:val="Tabla"/>
            </w:pPr>
            <w:r/>
            <w:r>
              <w:rPr>
                <w:b w:val="0"/>
                <w:i w:val="0"/>
              </w:rPr>
            </w:r>
            <w:r>
              <w:rPr>
                <w:b/>
                <w:i w:val="0"/>
              </w:rPr>
              <w:t>11,4 %</w:t>
            </w:r>
            <w:r>
              <w:rPr>
                <w:b w:val="0"/>
                <w:i w:val="0"/>
              </w:rPr>
            </w:r>
          </w:p>
        </w:tc>
        <w:tc>
          <w:tcPr>
            <w:tcW w:type="dxa" w:w="3137"/>
          </w:tcPr>
          <w:p>
            <w:pPr>
              <w:pStyle w:val="Tabla"/>
            </w:pPr>
            <w:r/>
            <w:r>
              <w:rPr>
                <w:b w:val="0"/>
                <w:i w:val="0"/>
              </w:rPr>
            </w:r>
            <w:r>
              <w:rPr>
                <w:b/>
                <w:i w:val="0"/>
              </w:rPr>
              <w:t>Ministerio de Trabajo y Economía Social</w:t>
            </w:r>
            <w:r>
              <w:rPr>
                <w:b w:val="0"/>
                <w:i w:val="0"/>
              </w:rPr>
              <w:t>, su análisis de la misma encuesta</w:t>
            </w:r>
          </w:p>
        </w:tc>
        <w:tc>
          <w:tcPr>
            <w:tcW w:type="dxa" w:w="3137"/>
          </w:tcPr>
          <w:p>
            <w:pPr>
              <w:pStyle w:val="Tabla"/>
            </w:pPr>
            <w:r/>
            <w:r>
              <w:rPr>
                <w:b w:val="0"/>
                <w:i w:val="0"/>
              </w:rPr>
            </w:r>
            <w:r>
              <w:rPr>
                <w:b/>
                <w:i w:val="0"/>
              </w:rPr>
              <w:t>De 16 a 64 años</w:t>
            </w:r>
            <w:r>
              <w:rPr>
                <w:b w:val="0"/>
                <w:i w:val="0"/>
              </w:rPr>
            </w:r>
          </w:p>
        </w:tc>
      </w:tr>
    </w:tbl>
    <w:p>
      <w:pPr/>
    </w:p>
    <w:p>
      <w:pPr/>
      <w:r>
        <w:rPr>
          <w:b w:val="0"/>
          <w:i w:val="0"/>
        </w:rPr>
      </w:r>
      <w:r>
        <w:rPr>
          <w:b/>
          <w:i w:val="0"/>
        </w:rPr>
        <w:t>La diferencia tiene explicación y conviene entenderla, porque es materia de examen.</w:t>
      </w:r>
      <w:r>
        <w:rPr>
          <w:b w:val="0"/>
          <w:i w:val="0"/>
        </w:rPr>
        <w:t xml:space="preserve"> </w:t>
      </w:r>
      <w:r>
        <w:rPr>
          <w:b/>
          <w:i w:val="0"/>
        </w:rPr>
        <w:t>El</w:t>
      </w:r>
      <w:r>
        <w:t xml:space="preserve"> </w:t>
      </w:r>
      <w:r>
        <w:rPr>
          <w:b/>
          <w:i w:val="0"/>
        </w:rPr>
        <w:t>denominador de la segunda deja fuera a los activos de 65 años o más</w:t>
      </w:r>
      <w:r>
        <w:rPr>
          <w:b w:val="0"/>
          <w:i w:val="0"/>
        </w:rPr>
        <w:t xml:space="preserve">, que son pocos y están </w:t>
      </w:r>
      <w:r>
        <w:rPr>
          <w:b/>
          <w:i w:val="0"/>
        </w:rPr>
        <w:t>poco</w:t>
      </w:r>
      <w:r>
        <w:t xml:space="preserve"> </w:t>
      </w:r>
      <w:r>
        <w:rPr>
          <w:b/>
          <w:i w:val="0"/>
        </w:rPr>
        <w:t>parados</w:t>
      </w:r>
      <w:r>
        <w:rPr>
          <w:b w:val="0"/>
          <w:i w:val="0"/>
        </w:rPr>
        <w:t>: quitarlos del reparto sube ligeramente el porcentaje de parados sobre el resto.</w:t>
      </w:r>
    </w:p>
    <w:p>
      <w:pPr/>
      <w:r>
        <w:rPr>
          <w:b w:val="0"/>
          <w:i w:val="0"/>
        </w:rPr>
      </w:r>
      <w:r>
        <w:rPr>
          <w:b/>
          <w:i w:val="0"/>
        </w:rPr>
        <w:t>Qué se hace con esto.</w:t>
      </w:r>
      <w:r>
        <w:rPr>
          <w:b w:val="0"/>
          <w:i w:val="0"/>
        </w:rPr>
        <w:t xml:space="preserve"> </w:t>
      </w:r>
      <w:r>
        <w:rPr>
          <w:b/>
          <w:i w:val="0"/>
        </w:rPr>
        <w:t>La respuesta oficial no está mal y el enunciado tampoco</w:t>
      </w:r>
      <w:r>
        <w:rPr>
          <w:b w:val="0"/>
          <w:i w:val="0"/>
        </w:rPr>
        <w:t>: pregunta por</w:t>
      </w:r>
      <w:r>
        <w:t xml:space="preserve"> </w:t>
      </w:r>
      <w:r>
        <w:rPr>
          <w:b w:val="0"/>
          <w:i w:val="0"/>
        </w:rPr>
        <w:t>«la tasa de paro» sin nombrar fuente, y el 11,4 % es el dato que el ministerio del ramo publica de</w:t>
      </w:r>
      <w:r>
        <w:t xml:space="preserve"> </w:t>
      </w:r>
      <w:r>
        <w:rPr>
          <w:b w:val="0"/>
          <w:i w:val="0"/>
        </w:rPr>
        <w:t xml:space="preserve">ese trimestre. </w:t>
      </w:r>
      <w:r>
        <w:rPr>
          <w:b/>
          <w:i w:val="0"/>
        </w:rPr>
        <w:t>Lo que hay que saber es que existen las dos</w:t>
      </w:r>
      <w:r>
        <w:rPr>
          <w:b w:val="0"/>
          <w:i w:val="0"/>
        </w:rPr>
        <w:t xml:space="preserve">, y por qué. </w:t>
      </w:r>
      <w:r>
        <w:rPr>
          <w:b/>
          <w:i w:val="0"/>
        </w:rPr>
        <w:t>El tema da las dos con</w:t>
      </w:r>
      <w:r>
        <w:t xml:space="preserve"> </w:t>
      </w:r>
      <w:r>
        <w:rPr>
          <w:b/>
          <w:i w:val="0"/>
        </w:rPr>
        <w:t>su población al lado</w:t>
      </w:r>
      <w:r>
        <w:rPr>
          <w:b w:val="0"/>
          <w:i w:val="0"/>
        </w:rPr>
        <w:t>, y quien se examine debe marcar la de la plantilla sabiendo que el 11,27 % del</w:t>
      </w:r>
      <w:r>
        <w:t xml:space="preserve"> </w:t>
      </w:r>
      <w:r>
        <w:rPr>
          <w:b w:val="0"/>
          <w:i w:val="0"/>
        </w:rPr>
        <w:t>INE no es un error suyo, sino otra medida.</w:t>
      </w:r>
    </w:p>
    <w:p>
      <w:pPr/>
      <w:r>
        <w:rPr>
          <w:b w:val="0"/>
          <w:i w:val="0"/>
        </w:rPr>
      </w:r>
      <w:r>
        <w:rPr>
          <w:b/>
          <w:i w:val="0"/>
        </w:rPr>
        <w:t>Y la regla que queda para este temario</w:t>
      </w:r>
      <w:r>
        <w:rPr>
          <w:b w:val="0"/>
          <w:i w:val="0"/>
        </w:rPr>
        <w:t xml:space="preserve">: </w:t>
      </w:r>
      <w:r>
        <w:rPr>
          <w:b/>
          <w:i w:val="0"/>
        </w:rPr>
        <w:t>una cifra estadística sin su población de referencia no</w:t>
      </w:r>
      <w:r>
        <w:t xml:space="preserve"> </w:t>
      </w:r>
      <w:r>
        <w:rPr>
          <w:b/>
          <w:i w:val="0"/>
        </w:rPr>
        <w:t>es un dato, es media respuesta.</w:t>
      </w:r>
      <w:r>
        <w:rPr>
          <w:b w:val="0"/>
          <w:i w:val="0"/>
        </w:rPr>
        <w:t xml:space="preserve"> El proyecto la había anotado como discrepancia entre la plantilla y</w:t>
      </w:r>
      <w:r>
        <w:t xml:space="preserve"> </w:t>
      </w:r>
      <w:r>
        <w:rPr>
          <w:b w:val="0"/>
          <w:i w:val="0"/>
        </w:rPr>
        <w:t xml:space="preserve">la fuente durante días, y la discrepancia era sólo que </w:t>
      </w:r>
      <w:r>
        <w:rPr>
          <w:b/>
          <w:i w:val="0"/>
        </w:rPr>
        <w:t>se estaban comparando dos denominadores</w:t>
      </w:r>
      <w:r>
        <w:t xml:space="preserve"> </w:t>
      </w:r>
      <w:r>
        <w:rPr>
          <w:b/>
          <w:i w:val="0"/>
        </w:rPr>
        <w:t>distintos</w:t>
      </w:r>
      <w:r>
        <w:rPr>
          <w:b w:val="0"/>
          <w:i w:val="0"/>
        </w:rPr>
        <w:t>.</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11,4 %</w:t>
            </w:r>
            <w:r>
              <w:rPr>
                <w:b w:val="0"/>
                <w:i w:val="0"/>
              </w:rPr>
              <w:t xml:space="preserve"> de 16 a 64 años, y del </w:t>
            </w:r>
            <w:r>
              <w:rPr>
                <w:b/>
                <w:i w:val="0"/>
              </w:rPr>
              <w:t>11,27 %</w:t>
            </w:r>
            <w:r>
              <w:rPr>
                <w:b w:val="0"/>
                <w:i w:val="0"/>
              </w:rPr>
              <w:t xml:space="preserve"> en toda la población activa</w:t>
            </w:r>
          </w:p>
        </w:tc>
        <w:tc>
          <w:tcPr>
            <w:tcW w:type="dxa" w:w="2353"/>
          </w:tcPr>
          <w:p>
            <w:pPr>
              <w:pStyle w:val="Tabla"/>
            </w:pPr>
            <w:r/>
            <w:r>
              <w:rPr>
                <w:b w:val="0"/>
                <w:i w:val="0"/>
              </w:rPr>
            </w:r>
            <w:r>
              <w:rPr>
                <w:b/>
                <w:i w:val="0"/>
              </w:rPr>
              <w:t>Ministerio de Trabajo</w:t>
            </w:r>
            <w:r>
              <w:rPr>
                <w:b w:val="0"/>
                <w:i w:val="0"/>
              </w:rPr>
              <w:t xml:space="preserve"> e </w:t>
            </w:r>
            <w:r>
              <w:rPr>
                <w:b/>
                <w:i w:val="0"/>
              </w:rPr>
              <w:t>INE</w:t>
            </w:r>
            <w:r>
              <w:rPr>
                <w:b w:val="0"/>
                <w:i w:val="0"/>
              </w:rPr>
              <w:t>: dos poblaciones, una encuesta</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w:t>
      </w:r>
      <w:r>
        <w:rPr>
          <w:b/>
          <w:i w:val="0"/>
        </w:rPr>
        <w:t>11,4 %</w:t>
      </w:r>
      <w:r>
        <w:rPr>
          <w:b w:val="0"/>
          <w:i w:val="0"/>
        </w:rPr>
        <w:t xml:space="preserve">, es la tasa </w:t>
      </w:r>
      <w:r>
        <w:rPr>
          <w:b/>
          <w:i w:val="0"/>
        </w:rPr>
        <w:t>de 16 a 64</w:t>
      </w:r>
      <w:r>
        <w:t xml:space="preserve"> </w:t>
      </w:r>
      <w:r>
        <w:rPr>
          <w:b/>
          <w:i w:val="0"/>
        </w:rPr>
        <w:t>años</w:t>
      </w:r>
      <w:r>
        <w:rPr>
          <w:b w:val="0"/>
          <w:i w:val="0"/>
        </w:rPr>
        <w:t xml:space="preserve"> que publica el Ministerio de Trabajo; el </w:t>
      </w:r>
      <w:r>
        <w:rPr>
          <w:b/>
          <w:i w:val="0"/>
        </w:rPr>
        <w:t>11,27 %</w:t>
      </w:r>
      <w:r>
        <w:rPr>
          <w:b w:val="0"/>
          <w:i w:val="0"/>
        </w:rPr>
        <w:t xml:space="preserve"> del INE es la de </w:t>
      </w:r>
      <w:r>
        <w:rPr>
          <w:b/>
          <w:i w:val="0"/>
        </w:rPr>
        <w:t>toda la población</w:t>
      </w:r>
      <w:r>
        <w:t xml:space="preserve"> </w:t>
      </w:r>
      <w:r>
        <w:rPr>
          <w:b/>
          <w:i w:val="0"/>
        </w:rPr>
        <w:t>activa</w:t>
      </w:r>
      <w:r>
        <w:rPr>
          <w:b w:val="0"/>
          <w:i w:val="0"/>
        </w:rPr>
        <w:t xml:space="preserve">. </w:t>
      </w:r>
      <w:r>
        <w:rPr>
          <w:b/>
          <w:i w:val="0"/>
        </w:rPr>
        <w:t>Las dos son de la misma encuesta y las dos son correctas</w:t>
      </w:r>
      <w:r>
        <w:rPr>
          <w:b w:val="0"/>
          <w:i w:val="0"/>
        </w:rPr>
        <w:t>: se explican en el</w:t>
      </w:r>
      <w:r>
        <w:t xml:space="preserve"> </w:t>
      </w:r>
      <w:r>
        <w:rPr>
          <w:b w:val="0"/>
          <w:i w:val="0"/>
        </w:rPr>
        <w:t>epígrafe 4.</w:t>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Centro de Investigaciones Sociológicas (</w:t>
      </w:r>
      <w:r>
        <w:rPr>
          <w:b/>
          <w:i w:val="0"/>
        </w:rPr>
        <w:t>CIS</w:t>
      </w:r>
      <w:r>
        <w:rPr>
          <w:b w:val="0"/>
          <w:i w:val="0"/>
        </w:rPr>
        <w:t>); los ministerios de</w:t>
      </w:r>
      <w:r>
        <w:t xml:space="preserve"> </w:t>
      </w:r>
      <w:r>
        <w:rPr>
          <w:b w:val="0"/>
          <w:i w:val="0"/>
        </w:rPr>
        <w:t>Cultura antes del cambio de nombre (</w:t>
      </w:r>
      <w:r>
        <w:rPr>
          <w:b/>
          <w:i w:val="0"/>
        </w:rPr>
        <w:t>CUD</w:t>
      </w:r>
      <w:r>
        <w:rPr>
          <w:b w:val="0"/>
          <w:i w:val="0"/>
        </w:rPr>
        <w:t>), Cultura después (</w:t>
      </w:r>
      <w:r>
        <w:rPr>
          <w:b/>
          <w:i w:val="0"/>
        </w:rPr>
        <w:t>CLT</w:t>
      </w:r>
      <w:r>
        <w:rPr>
          <w:b w:val="0"/>
          <w:i w:val="0"/>
        </w:rPr>
        <w:t>) y Ciencia e Innovación</w:t>
      </w:r>
      <w:r>
        <w:t xml:space="preserve"> </w:t>
      </w:r>
      <w:r>
        <w:rPr>
          <w:b w:val="0"/>
          <w:i w:val="0"/>
        </w:rPr>
        <w:t>(</w:t>
      </w:r>
      <w:r>
        <w:rPr>
          <w:b/>
          <w:i w:val="0"/>
        </w:rPr>
        <w:t>CIN</w:t>
      </w:r>
      <w:r>
        <w:rPr>
          <w:b w:val="0"/>
          <w:i w:val="0"/>
        </w:rPr>
        <w:t>); Euskal Herria Bildu (</w:t>
      </w:r>
      <w:r>
        <w:rPr>
          <w:b/>
          <w:i w:val="0"/>
        </w:rPr>
        <w:t>EH</w:t>
      </w:r>
      <w:r>
        <w:rPr>
          <w:b w:val="0"/>
          <w:i w:val="0"/>
        </w:rPr>
        <w:t xml:space="preserve"> Bildu); Instituto Nacional de Estadística (</w:t>
      </w:r>
      <w:r>
        <w:rPr>
          <w:b/>
          <w:i w:val="0"/>
        </w:rPr>
        <w:t>INE</w:t>
      </w:r>
      <w:r>
        <w:rPr>
          <w:b w:val="0"/>
          <w:i w:val="0"/>
        </w:rPr>
        <w:t>); el</w:t>
      </w:r>
      <w:r>
        <w:t xml:space="preserve"> </w:t>
      </w:r>
      <w:r>
        <w:rPr>
          <w:b w:val="0"/>
          <w:i w:val="0"/>
        </w:rPr>
        <w:t>índice de la bolsa de Milán (</w:t>
      </w:r>
      <w:r>
        <w:rPr>
          <w:b/>
          <w:i w:val="0"/>
        </w:rPr>
        <w:t>FTSE MIB</w:t>
      </w:r>
      <w:r>
        <w:rPr>
          <w:b w:val="0"/>
          <w:i w:val="0"/>
        </w:rPr>
        <w:t>) y los activos digitales no fungibles (</w:t>
      </w:r>
      <w:r>
        <w:rPr>
          <w:b/>
          <w:i w:val="0"/>
        </w:rPr>
        <w:t>NFT</w:t>
      </w:r>
      <w:r>
        <w:rPr>
          <w:b w:val="0"/>
          <w:i w:val="0"/>
        </w:rPr>
        <w:t>); producto</w:t>
      </w:r>
      <w:r>
        <w:t xml:space="preserve"> </w:t>
      </w:r>
      <w:r>
        <w:rPr>
          <w:b w:val="0"/>
          <w:i w:val="0"/>
        </w:rPr>
        <w:t>interior bruto (</w:t>
      </w:r>
      <w:r>
        <w:rPr>
          <w:b/>
          <w:i w:val="0"/>
        </w:rPr>
        <w:t>PIB</w:t>
      </w:r>
      <w:r>
        <w:rPr>
          <w:b w:val="0"/>
          <w:i w:val="0"/>
        </w:rPr>
        <w:t>); Partido Nacionalista Vasco (</w:t>
      </w:r>
      <w:r>
        <w:rPr>
          <w:b/>
          <w:i w:val="0"/>
        </w:rPr>
        <w:t>PNV</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‘Antes de que llegue el olvido’ de Ana Rodríguez Fischer y, finalista, ‘Volver cuándo’ de María Elena Morán.</w:t>
      </w:r>
    </w:p>
    <w:p>
      <w:pPr>
        <w:pStyle w:val="Opción"/>
      </w:pPr>
      <w:r>
        <w:t>c) Ganadora, ‘Los nombres prestados’ de Alexis Ravelo y, finalista, ‘Hasta aquí hemos llegado’ de Antonio Fontana.</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la Unión Europea (</w:t>
      </w:r>
      <w:r>
        <w:rPr>
          <w:b/>
          <w:i w:val="0"/>
        </w:rPr>
        <w:t>UE</w:t>
      </w:r>
      <w:r>
        <w:rPr>
          <w:b w:val="0"/>
          <w:i w:val="0"/>
        </w:rPr>
        <w:t>), la Comunidad Económica Europea (</w:t>
      </w:r>
      <w:r>
        <w:rPr>
          <w:b/>
          <w:i w:val="0"/>
        </w:rPr>
        <w:t>CEE</w:t>
      </w:r>
      <w:r>
        <w:rPr>
          <w:b w:val="0"/>
          <w:i w:val="0"/>
        </w:rPr>
        <w:t>),</w:t>
      </w:r>
      <w:r>
        <w:t xml:space="preserve"> </w:t>
      </w:r>
      <w:r>
        <w:rPr>
          <w:b w:val="0"/>
          <w:i w:val="0"/>
        </w:rPr>
        <w:t>la Comunidad Europea de la Energía Atómica (</w:t>
      </w:r>
      <w:r>
        <w:rPr>
          <w:b/>
          <w:i w:val="0"/>
        </w:rPr>
        <w:t>Euratom</w:t>
      </w:r>
      <w:r>
        <w:rPr>
          <w:b w:val="0"/>
          <w:i w:val="0"/>
        </w:rPr>
        <w:t>), el Banco Central Europeo (</w:t>
      </w:r>
      <w:r>
        <w:rPr>
          <w:b/>
          <w:i w:val="0"/>
        </w:rPr>
        <w:t>BCE</w:t>
      </w:r>
      <w:r>
        <w:rPr>
          <w:b w:val="0"/>
          <w:i w:val="0"/>
        </w:rPr>
        <w:t>), el</w:t>
      </w:r>
      <w:r>
        <w:t xml:space="preserve"> </w:t>
      </w:r>
      <w:r>
        <w:rPr>
          <w:b w:val="0"/>
          <w:i w:val="0"/>
        </w:rPr>
        <w:t>Diario Oficial de la Unión Europea (</w:t>
      </w:r>
      <w:r>
        <w:rPr>
          <w:b/>
          <w:i w:val="0"/>
        </w:rPr>
        <w:t>DO</w:t>
      </w:r>
      <w:r>
        <w:rPr>
          <w:b w:val="0"/>
          <w:i w:val="0"/>
        </w:rPr>
        <w:t xml:space="preserve">, y </w:t>
      </w:r>
      <w:r>
        <w:rPr>
          <w:b/>
          <w:i w:val="0"/>
        </w:rPr>
        <w:t>DOUE</w:t>
      </w:r>
      <w:r>
        <w:rPr>
          <w:b w:val="0"/>
          <w:i w:val="0"/>
        </w:rPr>
        <w:t xml:space="preserve"> cuando lo cita el BOE), el Parlamento Europeo</w:t>
      </w:r>
      <w:r>
        <w:t xml:space="preserve"> </w:t>
      </w:r>
      <w:r>
        <w:rPr>
          <w:b w:val="0"/>
          <w:i w:val="0"/>
        </w:rPr>
        <w:t>(</w:t>
      </w:r>
      <w:r>
        <w:rPr>
          <w:b/>
          <w:i w:val="0"/>
        </w:rPr>
        <w:t>PE</w:t>
      </w:r>
      <w:r>
        <w:rPr>
          <w:b w:val="0"/>
          <w:i w:val="0"/>
        </w:rPr>
        <w:t>), la política agrícola común (</w:t>
      </w:r>
      <w:r>
        <w:rPr>
          <w:b/>
          <w:i w:val="0"/>
        </w:rPr>
        <w:t>PAC</w:t>
      </w:r>
      <w:r>
        <w:rPr>
          <w:b w:val="0"/>
          <w:i w:val="0"/>
        </w:rPr>
        <w:t>), la Junta Electoral Central (</w:t>
      </w:r>
      <w:r>
        <w:rPr>
          <w:b/>
          <w:i w:val="0"/>
        </w:rPr>
        <w:t>JEC</w:t>
      </w:r>
      <w:r>
        <w:rPr>
          <w:b w:val="0"/>
          <w:i w:val="0"/>
        </w:rPr>
        <w:t>), el Boletín</w:t>
      </w:r>
      <w:r>
        <w:t xml:space="preserve"> </w:t>
      </w:r>
      <w:r>
        <w:rPr>
          <w:b w:val="0"/>
          <w:i w:val="0"/>
        </w:rPr>
        <w:t>Oficial del Estado (</w:t>
      </w:r>
      <w:r>
        <w:rPr>
          <w:b/>
          <w:i w:val="0"/>
        </w:rPr>
        <w:t>BOE</w:t>
      </w:r>
      <w:r>
        <w:rPr>
          <w:b w:val="0"/>
          <w:i w:val="0"/>
        </w:rPr>
        <w:t>), el índice armonizado de precios de consumo (</w:t>
      </w:r>
      <w:r>
        <w:rPr>
          <w:b/>
          <w:i w:val="0"/>
        </w:rPr>
        <w:t>IAPC</w:t>
      </w:r>
      <w:r>
        <w:rPr>
          <w:b w:val="0"/>
          <w:i w:val="0"/>
        </w:rPr>
        <w:t>) y las buenas</w:t>
      </w:r>
      <w:r>
        <w:t xml:space="preserve"> </w:t>
      </w:r>
      <w:r>
        <w:rPr>
          <w:b w:val="0"/>
          <w:i w:val="0"/>
        </w:rPr>
        <w:t>condiciones agrarias y medioambientales (</w:t>
      </w:r>
      <w:r>
        <w:rPr>
          <w:b/>
          <w:i w:val="0"/>
        </w:rPr>
        <w:t>BCAM</w:t>
      </w:r>
      <w:r>
        <w:rPr>
          <w:b w:val="0"/>
          <w:i w:val="0"/>
        </w:rPr>
        <w:t>). Y las de los partidos que salen en los</w:t>
      </w:r>
      <w:r>
        <w:t xml:space="preserve"> </w:t>
      </w:r>
      <w:r>
        <w:rPr>
          <w:b w:val="0"/>
          <w:i w:val="0"/>
        </w:rPr>
        <w:t>resultados electorales: Partido Popular (</w:t>
      </w:r>
      <w:r>
        <w:rPr>
          <w:b/>
          <w:i w:val="0"/>
        </w:rPr>
        <w:t>PP</w:t>
      </w:r>
      <w:r>
        <w:rPr>
          <w:b w:val="0"/>
          <w:i w:val="0"/>
        </w:rPr>
        <w:t>), Partido Socialista Obrero Español (</w:t>
      </w:r>
      <w:r>
        <w:rPr>
          <w:b/>
          <w:i w:val="0"/>
        </w:rPr>
        <w:t>PSOE</w:t>
      </w:r>
      <w:r>
        <w:rPr>
          <w:b w:val="0"/>
          <w:i w:val="0"/>
        </w:rPr>
        <w:t>),</w:t>
      </w:r>
      <w:r>
        <w:t xml:space="preserve"> </w:t>
      </w:r>
      <w:r>
        <w:rPr>
          <w:b w:val="0"/>
          <w:i w:val="0"/>
        </w:rPr>
        <w:t>Esquerra Republicana de Catalunya (</w:t>
      </w:r>
      <w:r>
        <w:rPr>
          <w:b/>
          <w:i w:val="0"/>
        </w:rPr>
        <w:t>ERC</w:t>
      </w:r>
      <w:r>
        <w:rPr>
          <w:b w:val="0"/>
          <w:i w:val="0"/>
        </w:rPr>
        <w:t>), Euskal Herria Bildu (</w:t>
      </w:r>
      <w:r>
        <w:rPr>
          <w:b/>
          <w:i w:val="0"/>
        </w:rPr>
        <w:t>EH</w:t>
      </w:r>
      <w:r>
        <w:rPr>
          <w:b w:val="0"/>
          <w:i w:val="0"/>
        </w:rPr>
        <w:t xml:space="preserve"> Bildu), Bloque Nacionalista</w:t>
      </w:r>
      <w:r>
        <w:t xml:space="preserve"> </w:t>
      </w:r>
      <w:r>
        <w:rPr>
          <w:b w:val="0"/>
          <w:i w:val="0"/>
        </w:rPr>
        <w:t>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 es nombre y no sigla</w:t>
      </w:r>
      <w:r>
        <w:t xml:space="preserve"> </w:t>
      </w:r>
      <w:r>
        <w:rPr>
          <w:b w:val="0"/>
          <w:i w:val="0"/>
        </w:rPr>
        <w:t xml:space="preserve">desarrollada. Y el banco central europeo aparece también con </w:t>
      </w:r>
      <w:r>
        <w:rPr>
          <w:b/>
          <w:i w:val="0"/>
        </w:rPr>
        <w:t>sus propias siglas inglesas</w:t>
      </w:r>
      <w:r>
        <w:rPr>
          <w:b w:val="0"/>
          <w:i w:val="0"/>
        </w:rPr>
        <w:t xml:space="preserve"> en el</w:t>
      </w:r>
      <w:r>
        <w:t xml:space="preserve"> </w:t>
      </w:r>
      <w:r>
        <w:rPr>
          <w:b w:val="0"/>
          <w:i w:val="0"/>
        </w:rPr>
        <w:t>título de la tabla que este tema cita: European Central Bank (</w:t>
      </w:r>
      <w:r>
        <w:rPr>
          <w:b/>
          <w:i w:val="0"/>
        </w:rPr>
        <w:t>ECB</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la Unión Europea estableció nuevos aranceles a productos provenientes de China, ¿cuál de estos productos está afectado?</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las condiciones de las actividades agrícolas perjudiciales con el medioambiente.</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el Boletín Oficial del Estado (</w:t>
      </w:r>
      <w:r>
        <w:rPr>
          <w:b/>
          <w:i w:val="0"/>
        </w:rPr>
        <w:t>BOE</w:t>
      </w:r>
      <w:r>
        <w:rPr>
          <w:b w:val="0"/>
          <w:i w:val="0"/>
        </w:rPr>
        <w:t>), el Centro de Investigaciones</w:t>
      </w:r>
      <w:r>
        <w:t xml:space="preserve"> </w:t>
      </w:r>
      <w:r>
        <w:rPr>
          <w:b w:val="0"/>
          <w:i w:val="0"/>
        </w:rPr>
        <w:t>Sociológicas (</w:t>
      </w:r>
      <w:r>
        <w:rPr>
          <w:b/>
          <w:i w:val="0"/>
        </w:rPr>
        <w:t>CIS</w:t>
      </w:r>
      <w:r>
        <w:rPr>
          <w:b w:val="0"/>
          <w:i w:val="0"/>
        </w:rPr>
        <w:t>), la Agencia Estatal Boletín Oficial del Estado (</w:t>
      </w:r>
      <w:r>
        <w:rPr>
          <w:b/>
          <w:i w:val="0"/>
        </w:rPr>
        <w:t>AEBOE</w:t>
      </w:r>
      <w:r>
        <w:rPr>
          <w:b w:val="0"/>
          <w:i w:val="0"/>
        </w:rPr>
        <w:t>), el Consejo</w:t>
      </w:r>
      <w:r>
        <w:t xml:space="preserve"> </w:t>
      </w:r>
      <w:r>
        <w:rPr>
          <w:b w:val="0"/>
          <w:i w:val="0"/>
        </w:rPr>
        <w:t>General del Poder Judicial (</w:t>
      </w:r>
      <w:r>
        <w:rPr>
          <w:b/>
          <w:i w:val="0"/>
        </w:rPr>
        <w:t>CGPJ</w:t>
      </w:r>
      <w:r>
        <w:rPr>
          <w:b w:val="0"/>
          <w:i w:val="0"/>
        </w:rPr>
        <w:t>), el Tribunal Superior de Justicia (</w:t>
      </w:r>
      <w:r>
        <w:rPr>
          <w:b/>
          <w:i w:val="0"/>
        </w:rPr>
        <w:t>TSJ</w:t>
      </w:r>
      <w:r>
        <w:rPr>
          <w:b w:val="0"/>
          <w:i w:val="0"/>
        </w:rPr>
        <w:t>), el Tribunal</w:t>
      </w:r>
      <w:r>
        <w:t xml:space="preserve"> </w:t>
      </w:r>
      <w:r>
        <w:rPr>
          <w:b w:val="0"/>
          <w:i w:val="0"/>
        </w:rPr>
        <w:t>Europeo de Derechos Humanos (</w:t>
      </w:r>
      <w:r>
        <w:rPr>
          <w:b/>
          <w:i w:val="0"/>
        </w:rPr>
        <w:t>TEDH</w:t>
      </w:r>
      <w:r>
        <w:rPr>
          <w:b w:val="0"/>
          <w:i w:val="0"/>
        </w:rPr>
        <w:t>), la Organización de las Naciones Unidas (</w:t>
      </w:r>
      <w:r>
        <w:rPr>
          <w:b/>
          <w:i w:val="0"/>
        </w:rPr>
        <w:t>ONU</w:t>
      </w:r>
      <w:r>
        <w:rPr>
          <w:b w:val="0"/>
          <w:i w:val="0"/>
        </w:rPr>
        <w:t>), el</w:t>
      </w:r>
      <w:r>
        <w:t xml:space="preserve"> </w:t>
      </w:r>
      <w:r>
        <w:rPr>
          <w:b w:val="0"/>
          <w:i w:val="0"/>
        </w:rPr>
        <w:t>Organismo Internacional de Energía Atómica (</w:t>
      </w:r>
      <w:r>
        <w:rPr>
          <w:b/>
          <w:i w:val="0"/>
        </w:rPr>
        <w:t>OIEA</w:t>
      </w:r>
      <w:r>
        <w:rPr>
          <w:b w:val="0"/>
          <w:i w:val="0"/>
        </w:rPr>
        <w:t>), la Organización del Tratado del Atlántico</w:t>
      </w:r>
      <w:r>
        <w:t xml:space="preserve"> </w:t>
      </w:r>
      <w:r>
        <w:rPr>
          <w:b w:val="0"/>
          <w:i w:val="0"/>
        </w:rPr>
        <w:t>Norte (</w:t>
      </w:r>
      <w:r>
        <w:rPr>
          <w:b/>
          <w:i w:val="0"/>
        </w:rPr>
        <w:t>OTAN</w:t>
      </w:r>
      <w:r>
        <w:rPr>
          <w:b w:val="0"/>
          <w:i w:val="0"/>
        </w:rPr>
        <w:t>), la Reserva Federal de los Estados Unidos (</w:t>
      </w:r>
      <w:r>
        <w:rPr>
          <w:b/>
          <w:i w:val="0"/>
        </w:rPr>
        <w:t>FED</w:t>
      </w:r>
      <w:r>
        <w:rPr>
          <w:b w:val="0"/>
          <w:i w:val="0"/>
        </w:rPr>
        <w:t>), el Mercado Común del Sur</w:t>
      </w:r>
      <w:r>
        <w:t xml:space="preserve"> </w:t>
      </w:r>
      <w:r>
        <w:rPr>
          <w:b w:val="0"/>
          <w:i w:val="0"/>
        </w:rPr>
        <w:t>(</w:t>
      </w:r>
      <w:r>
        <w:rPr>
          <w:b/>
          <w:i w:val="0"/>
        </w:rPr>
        <w:t>MERCOSUR</w:t>
      </w:r>
      <w:r>
        <w:rPr>
          <w:b w:val="0"/>
          <w:i w:val="0"/>
        </w:rPr>
        <w:t>), el organismo de Naciones Unidas para los refugiados de Palestina (</w:t>
      </w:r>
      <w:r>
        <w:rPr>
          <w:b/>
          <w:i w:val="0"/>
        </w:rPr>
        <w:t>UNRWA</w:t>
      </w:r>
      <w:r>
        <w:rPr>
          <w:b w:val="0"/>
          <w:i w:val="0"/>
        </w:rPr>
        <w:t>, así, en</w:t>
      </w:r>
      <w:r>
        <w:t xml:space="preserve"> </w:t>
      </w:r>
      <w:r>
        <w:rPr>
          <w:b w:val="0"/>
          <w:i w:val="0"/>
        </w:rPr>
        <w:t>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r>
      <w:r>
        <w:rPr>
          <w:b/>
          <w:i w:val="0"/>
        </w:rPr>
        <w:t>Siglas</w:t>
      </w:r>
      <w:r>
        <w:rPr>
          <w:b w:val="0"/>
          <w:i w:val="0"/>
        </w:rPr>
        <w:t>: el real decreto-ley (</w:t>
      </w:r>
      <w:r>
        <w:rPr>
          <w:b/>
          <w:i w:val="0"/>
        </w:rPr>
        <w:t>RDL</w:t>
      </w:r>
      <w:r>
        <w:rPr>
          <w:b w:val="0"/>
          <w:i w:val="0"/>
        </w:rPr>
        <w:t>) del título de este tema.</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Siglas</w:t>
      </w:r>
      <w:r>
        <w:rPr>
          <w:b w:val="0"/>
          <w:i w:val="0"/>
        </w:rPr>
        <w:t xml:space="preserve">: la ley la llama </w:t>
      </w:r>
      <w:r>
        <w:rPr>
          <w:b/>
          <w:i w:val="0"/>
        </w:rPr>
        <w:t>Corporación RTVE</w:t>
      </w:r>
      <w:r>
        <w:rPr>
          <w:b w:val="0"/>
          <w:i w:val="0"/>
        </w:rPr>
        <w:t>), el Boletín Oficial del Estado</w:t>
      </w:r>
      <w:r>
        <w:t xml:space="preserve"> </w:t>
      </w:r>
      <w:r>
        <w:rPr>
          <w:b w:val="0"/>
          <w:i w:val="0"/>
        </w:rPr>
        <w:t>(</w:t>
      </w:r>
      <w:r>
        <w:rPr>
          <w:b/>
          <w:i w:val="0"/>
        </w:rPr>
        <w:t>BOE</w:t>
      </w:r>
      <w:r>
        <w:rPr>
          <w:b w:val="0"/>
          <w:i w:val="0"/>
        </w:rPr>
        <w:t>), el real decreto-ley (</w:t>
      </w:r>
      <w:r>
        <w:rPr>
          <w:b/>
          <w:i w:val="0"/>
        </w:rPr>
        <w:t>RDL</w:t>
      </w:r>
      <w:r>
        <w:rPr>
          <w:b w:val="0"/>
          <w:i w:val="0"/>
        </w:rPr>
        <w:t>), el Tribunal Constitucional (</w:t>
      </w:r>
      <w:r>
        <w:rPr>
          <w:b/>
          <w:i w:val="0"/>
        </w:rPr>
        <w:t>TC</w:t>
      </w:r>
      <w:r>
        <w:rPr>
          <w:b w:val="0"/>
          <w:i w:val="0"/>
        </w:rPr>
        <w:t>), la sentencia del</w:t>
      </w:r>
      <w:r>
        <w:t xml:space="preserve"> </w:t>
      </w:r>
      <w:r>
        <w:rPr>
          <w:b w:val="0"/>
          <w:i w:val="0"/>
        </w:rPr>
        <w:t>Tribunal Constitucional (</w:t>
      </w:r>
      <w:r>
        <w:rPr>
          <w:b/>
          <w:i w:val="0"/>
        </w:rPr>
        <w:t>STC</w:t>
      </w:r>
      <w:r>
        <w:rPr>
          <w:b w:val="0"/>
          <w:i w:val="0"/>
        </w:rPr>
        <w:t>) y la Constitución Española (</w:t>
      </w:r>
      <w:r>
        <w:rPr>
          <w:b/>
          <w:i w:val="0"/>
        </w:rPr>
        <w:t>CE</w:t>
      </w:r>
      <w:r>
        <w:rPr>
          <w:b w:val="0"/>
          <w:i w:val="0"/>
        </w:rPr>
        <w:t>, como la citan las sentencias);</w:t>
      </w:r>
      <w:r>
        <w:t xml:space="preserve"> </w:t>
      </w:r>
      <w:r>
        <w:rPr>
          <w:b w:val="0"/>
          <w:i w:val="0"/>
        </w:rPr>
        <w:t>real decreto-ley (</w:t>
      </w:r>
      <w:r>
        <w:rPr>
          <w:b/>
          <w:i w:val="0"/>
        </w:rPr>
        <w:t>RDL</w:t>
      </w:r>
      <w:r>
        <w:rPr>
          <w:b w:val="0"/>
          <w:i w:val="0"/>
        </w:rPr>
        <w:t>).</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Siglas</w:t>
      </w:r>
      <w:r>
        <w:rPr>
          <w:b w:val="0"/>
          <w:i w:val="0"/>
        </w:rPr>
        <w:t>: la Corporación de Radio y Televisión Española (</w:t>
      </w:r>
      <w:r>
        <w:rPr>
          <w:b/>
          <w:i w:val="0"/>
        </w:rPr>
        <w:t>CRTVE</w:t>
      </w:r>
      <w:r>
        <w:rPr>
          <w:b w:val="0"/>
          <w:i w:val="0"/>
        </w:rPr>
        <w:t>, que es como</w:t>
      </w:r>
      <w:r>
        <w:t xml:space="preserve"> </w:t>
      </w:r>
      <w:r>
        <w:rPr>
          <w:b w:val="0"/>
          <w:i w:val="0"/>
        </w:rPr>
        <w:t>el propio manual titula su capítulo 1.</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Si la información sobre su vida privada se obtiene a través de personas o medios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Siglas</w:t>
      </w:r>
      <w:r>
        <w:rPr>
          <w:b w:val="0"/>
          <w:i w:val="0"/>
        </w:rPr>
        <w:t>: la Unión Europea (</w:t>
      </w:r>
      <w:r>
        <w:rPr>
          <w:b/>
          <w:i w:val="0"/>
        </w:rPr>
        <w:t>UE</w:t>
      </w:r>
      <w:r>
        <w:rPr>
          <w:b w:val="0"/>
          <w:i w:val="0"/>
        </w:rPr>
        <w:t>), el Diario Oficial de la Unión Europea</w:t>
      </w:r>
      <w:r>
        <w:t xml:space="preserve"> </w:t>
      </w:r>
      <w:r>
        <w:rPr>
          <w:b w:val="0"/>
          <w:i w:val="0"/>
        </w:rPr>
        <w:t>(</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 el Tratado de</w:t>
      </w:r>
      <w:r>
        <w:t xml:space="preserve"> </w:t>
      </w:r>
      <w:r>
        <w:rPr>
          <w:b w:val="0"/>
          <w:i w:val="0"/>
        </w:rPr>
        <w:t>Funcionamiento de la Unión Europea (</w:t>
      </w:r>
      <w:r>
        <w:rPr>
          <w:b/>
          <w:i w:val="0"/>
        </w:rPr>
        <w:t>TFUE</w:t>
      </w:r>
      <w:r>
        <w:rPr>
          <w:b w:val="0"/>
          <w:i w:val="0"/>
        </w:rPr>
        <w:t>), el Grupo de Entidades Reguladoras Europeas para los</w:t>
      </w:r>
      <w:r>
        <w:t xml:space="preserve"> </w:t>
      </w:r>
      <w:r>
        <w:rPr>
          <w:b w:val="0"/>
          <w:i w:val="0"/>
        </w:rPr>
        <w:t>Servicios de Comunicación Audiovisual (</w:t>
      </w:r>
      <w:r>
        <w:rPr>
          <w:b/>
          <w:i w:val="0"/>
        </w:rPr>
        <w:t>ERGA</w:t>
      </w:r>
      <w:r>
        <w:rPr>
          <w:b w:val="0"/>
          <w:i w:val="0"/>
        </w:rPr>
        <w:t>, así lo abrevia la propia directiva), el Reglamento</w:t>
      </w:r>
      <w:r>
        <w:t xml:space="preserve"> </w:t>
      </w:r>
      <w:r>
        <w:rPr>
          <w:b w:val="0"/>
          <w:i w:val="0"/>
        </w:rPr>
        <w:t>general de protección de datos (</w:t>
      </w:r>
      <w:r>
        <w:rPr>
          <w:b/>
          <w:i w:val="0"/>
        </w:rPr>
        <w:t>RGPD</w:t>
      </w:r>
      <w:r>
        <w:rPr>
          <w:b w:val="0"/>
          <w:i w:val="0"/>
        </w:rPr>
        <w:t>) y la ley general de comunicación audiovisual española</w:t>
      </w:r>
      <w:r>
        <w:t xml:space="preserve"> </w:t>
      </w:r>
      <w:r>
        <w:rPr>
          <w:b w:val="0"/>
          <w:i w:val="0"/>
        </w:rPr>
        <w:t>(</w:t>
      </w:r>
      <w:r>
        <w:rPr>
          <w:b/>
          <w:i w:val="0"/>
        </w:rPr>
        <w:t>LGCA</w:t>
      </w:r>
      <w:r>
        <w:rPr>
          <w:b w:val="0"/>
          <w:i w:val="0"/>
        </w:rPr>
        <w:t>, la Ley 13/2022). Y tres que salen sólo en la trazabilidad: el identificador con que la</w:t>
      </w:r>
      <w:r>
        <w:t xml:space="preserve"> </w:t>
      </w:r>
      <w:r>
        <w:rPr>
          <w:b w:val="0"/>
          <w:i w:val="0"/>
        </w:rPr>
        <w:t>Unión numera sus normas (</w:t>
      </w:r>
      <w:r>
        <w:rPr>
          <w:b/>
          <w:i w:val="0"/>
        </w:rPr>
        <w:t>CELEX</w:t>
      </w:r>
      <w:r>
        <w:rPr>
          <w:b w:val="0"/>
          <w:i w:val="0"/>
        </w:rPr>
        <w:t>), el portal jurídico europeo (</w:t>
      </w:r>
      <w:r>
        <w:rPr>
          <w:b/>
          <w:i w:val="0"/>
        </w:rPr>
        <w:t>EUR</w:t>
      </w:r>
      <w:r>
        <w:rPr>
          <w:b w:val="0"/>
          <w:i w:val="0"/>
        </w:rPr>
        <w:t>-Lex) y el fichero de</w:t>
      </w:r>
      <w:r>
        <w:t xml:space="preserve"> </w:t>
      </w:r>
      <w:r>
        <w:rPr>
          <w:b w:val="0"/>
          <w:i w:val="0"/>
        </w:rPr>
        <w:t>documento portátil (</w:t>
      </w:r>
      <w:r>
        <w:rPr>
          <w:b/>
          <w:i w:val="0"/>
        </w:rPr>
        <w:t>PDF</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Siglas</w:t>
      </w:r>
      <w:r>
        <w:rPr>
          <w:b w:val="0"/>
          <w:i w:val="0"/>
        </w:rPr>
        <w:t>: la Unión Europea (</w:t>
      </w:r>
      <w:r>
        <w:rPr>
          <w:b/>
          <w:i w:val="0"/>
        </w:rPr>
        <w:t>UE</w:t>
      </w:r>
      <w:r>
        <w:rPr>
          <w:b w:val="0"/>
          <w:i w:val="0"/>
        </w:rPr>
        <w:t>), el Tratado de la Unión Europea (</w:t>
      </w:r>
      <w:r>
        <w:rPr>
          <w:b/>
          <w:i w:val="0"/>
        </w:rPr>
        <w:t>TUE</w:t>
      </w:r>
      <w:r>
        <w:rPr>
          <w:b w:val="0"/>
          <w:i w:val="0"/>
        </w:rPr>
        <w:t>),</w:t>
      </w:r>
      <w:r>
        <w:t xml:space="preserve"> </w:t>
      </w:r>
      <w:r>
        <w:rPr>
          <w:b w:val="0"/>
          <w:i w:val="0"/>
        </w:rPr>
        <w:t>el Tratado de Funcionamiento de la Unión Europea (</w:t>
      </w:r>
      <w:r>
        <w:rPr>
          <w:b/>
          <w:i w:val="0"/>
        </w:rPr>
        <w:t>TFUE</w:t>
      </w:r>
      <w:r>
        <w:rPr>
          <w:b w:val="0"/>
          <w:i w:val="0"/>
        </w:rPr>
        <w:t>), el Convenio Europeo de Derechos Humanos</w:t>
      </w:r>
      <w:r>
        <w:t xml:space="preserve"> </w:t>
      </w:r>
      <w:r>
        <w:rPr>
          <w:b w:val="0"/>
          <w:i w:val="0"/>
        </w:rPr>
        <w:t>(</w:t>
      </w:r>
      <w:r>
        <w:rPr>
          <w:b/>
          <w:i w:val="0"/>
        </w:rPr>
        <w:t>CEDH</w:t>
      </w:r>
      <w:r>
        <w:rPr>
          <w:b w:val="0"/>
          <w:i w:val="0"/>
        </w:rPr>
        <w:t>), el Diario Oficial de la Unión Europea (</w:t>
      </w:r>
      <w:r>
        <w:rPr>
          <w:b/>
          <w:i w:val="0"/>
        </w:rPr>
        <w:t>DO</w:t>
      </w:r>
      <w:r>
        <w:rPr>
          <w:b w:val="0"/>
          <w:i w:val="0"/>
        </w:rPr>
        <w:t>), la Organización para la Seguridad y la</w:t>
      </w:r>
      <w:r>
        <w:t xml:space="preserve"> </w:t>
      </w:r>
      <w:r>
        <w:rPr>
          <w:b w:val="0"/>
          <w:i w:val="0"/>
        </w:rPr>
        <w:t>Cooperación en Europa (</w:t>
      </w:r>
      <w:r>
        <w:rPr>
          <w:b/>
          <w:i w:val="0"/>
        </w:rPr>
        <w:t>OSCE</w:t>
      </w:r>
      <w:r>
        <w:rPr>
          <w:b w:val="0"/>
          <w:i w:val="0"/>
        </w:rPr>
        <w:t>), la Organización de las Naciones Unidas para la Educación, la</w:t>
      </w:r>
      <w:r>
        <w:t xml:space="preserve"> </w:t>
      </w:r>
      <w:r>
        <w:rPr>
          <w:b w:val="0"/>
          <w:i w:val="0"/>
        </w:rPr>
        <w:t>Ciencia y la Cultura (</w:t>
      </w:r>
      <w:r>
        <w:rPr>
          <w:b/>
          <w:i w:val="0"/>
        </w:rPr>
        <w:t>Unesco</w:t>
      </w:r>
      <w:r>
        <w:rPr>
          <w:b w:val="0"/>
          <w:i w:val="0"/>
        </w:rPr>
        <w:t>, así, con minúsculas, en el texto de la resolución), la enfermedad</w:t>
      </w:r>
      <w:r>
        <w:t xml:space="preserve"> </w:t>
      </w:r>
      <w:r>
        <w:rPr>
          <w:b w:val="0"/>
          <w:i w:val="0"/>
        </w:rPr>
        <w:t>por coronavirus de 2019 (</w:t>
      </w:r>
      <w:r>
        <w:rPr>
          <w:b/>
          <w:i w:val="0"/>
        </w:rPr>
        <w:t>COVID-19</w:t>
      </w:r>
      <w:r>
        <w:rPr>
          <w:b w:val="0"/>
          <w:i w:val="0"/>
        </w:rPr>
        <w:t>), y las demandas estratégicas contra la participación pública</w:t>
      </w:r>
      <w:r>
        <w:t xml:space="preserve"> </w:t>
      </w:r>
      <w:r>
        <w:rPr>
          <w:b w:val="0"/>
          <w:i w:val="0"/>
        </w:rPr>
        <w:t>(</w:t>
      </w:r>
      <w:r>
        <w:rPr>
          <w:b/>
          <w:i w:val="0"/>
        </w:rPr>
        <w:t>SLAPP</w:t>
      </w:r>
      <w:r>
        <w:rPr>
          <w:b w:val="0"/>
          <w:i w:val="0"/>
        </w:rPr>
        <w:t>, por sus siglas inglesas, que la propia resolución usa). Y cuatro que salen sólo en la</w:t>
      </w:r>
      <w:r>
        <w:t xml:space="preserve"> </w:t>
      </w:r>
      <w:r>
        <w:rPr>
          <w:b w:val="0"/>
          <w:i w:val="0"/>
        </w:rPr>
        <w:t>tabla de respuestas y en la trazabilidad (y van aquí para que nadie las tome por siglas): la</w:t>
      </w:r>
      <w:r>
        <w:t xml:space="preserve"> </w:t>
      </w:r>
      <w:r>
        <w:rPr>
          <w:b w:val="0"/>
          <w:i w:val="0"/>
        </w:rPr>
        <w:t xml:space="preserve">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la Organización de las Naciones Unidas para la Educación, la Ciencia y</w:t>
      </w:r>
      <w:r>
        <w:t xml:space="preserve"> </w:t>
      </w:r>
      <w:r>
        <w:rPr>
          <w:b w:val="0"/>
          <w:i w:val="0"/>
        </w:rPr>
        <w:t>la Cultura (</w:t>
      </w:r>
      <w:r>
        <w:rPr>
          <w:b/>
          <w:i w:val="0"/>
        </w:rPr>
        <w:t>UNESCO</w:t>
      </w:r>
      <w:r>
        <w:rPr>
          <w:b w:val="0"/>
          <w:i w:val="0"/>
        </w:rPr>
        <w:t>), la Organización de las Naciones Unidas (</w:t>
      </w:r>
      <w:r>
        <w:rPr>
          <w:b/>
          <w:i w:val="0"/>
        </w:rPr>
        <w:t>ONU</w:t>
      </w:r>
      <w:r>
        <w:rPr>
          <w:b w:val="0"/>
          <w:i w:val="0"/>
        </w:rPr>
        <w:t>), la enfermedad por</w:t>
      </w:r>
      <w:r>
        <w:t xml:space="preserve"> </w:t>
      </w:r>
      <w:r>
        <w:rPr>
          <w:b w:val="0"/>
          <w:i w:val="0"/>
        </w:rPr>
        <w:t>coronavirus de 2019 (</w:t>
      </w:r>
      <w:r>
        <w:rPr>
          <w:b/>
          <w:i w:val="0"/>
        </w:rPr>
        <w:t>COVID-19</w:t>
      </w:r>
      <w:r>
        <w:rPr>
          <w:b w:val="0"/>
          <w:i w:val="0"/>
        </w:rPr>
        <w:t>), los Objetivos de Desarrollo Sostenible (</w:t>
      </w:r>
      <w:r>
        <w:rPr>
          <w:b/>
          <w:i w:val="0"/>
        </w:rPr>
        <w:t>ODS</w:t>
      </w:r>
      <w:r>
        <w:rPr>
          <w:b w:val="0"/>
          <w:i w:val="0"/>
        </w:rPr>
        <w:t>) y el Día</w:t>
      </w:r>
      <w:r>
        <w:t xml:space="preserve"> </w:t>
      </w:r>
      <w:r>
        <w:rPr>
          <w:b w:val="0"/>
          <w:i w:val="0"/>
        </w:rPr>
        <w:t>Mundial de la Libertad de Prensa (</w:t>
      </w:r>
      <w:r>
        <w:rPr>
          <w:b/>
          <w:i w:val="0"/>
        </w:rPr>
        <w:t>DMLP</w:t>
      </w:r>
      <w:r>
        <w:rPr>
          <w:b w:val="0"/>
          <w:i w:val="0"/>
        </w:rPr>
        <w:t>, como se abrevia a veces.</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r>
      <w:r>
        <w:rPr>
          <w:b/>
          <w:i w:val="0"/>
        </w:rPr>
        <w:t>El artículo 2 dice que el periodista defenderá</w:t>
      </w:r>
      <w:r>
        <w:rPr>
          <w:b w:val="0"/>
          <w:i w:val="0"/>
        </w:rPr>
        <w:t xml:space="preserve">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r>
      <w:r>
        <w:rPr>
          <w:b/>
          <w:i w:val="0"/>
        </w:rPr>
        <w:t>Siglas</w:t>
      </w:r>
      <w:r>
        <w:rPr>
          <w:b w:val="0"/>
          <w:i w:val="0"/>
        </w:rPr>
        <w:t>: la Federación Internacional de Periodistas (</w:t>
      </w:r>
      <w:r>
        <w:rPr>
          <w:b/>
          <w:i w:val="0"/>
        </w:rPr>
        <w:t>FIP</w:t>
      </w:r>
      <w:r>
        <w:rPr>
          <w:b w:val="0"/>
          <w:i w:val="0"/>
        </w:rPr>
        <w:t>) del título de este tema.</w:t>
      </w:r>
    </w:p>
    <w:p>
      <w:pPr/>
      <w:r>
        <w:rPr>
          <w:b w:val="0"/>
          <w:i w:val="0"/>
        </w:rPr>
        <w:t xml:space="preserve">Telegrama. </w:t>
      </w:r>
      <w:r>
        <w:rPr>
          <w:b/>
          <w:i w:val="0"/>
        </w:rPr>
        <w:t>Todo sale de la propia carta</w:t>
      </w:r>
      <w:r>
        <w:rPr>
          <w:b w:val="0"/>
          <w:i w:val="0"/>
        </w:rPr>
        <w:t>, que cabe en una página.</w:t>
      </w:r>
    </w:p>
    <w:p>
      <w:pPr/>
      <w:r>
        <w:rPr>
          <w:b w:val="0"/>
          <w:i w:val="0"/>
        </w:rPr>
      </w:r>
      <w:r>
        <w:rPr>
          <w:b/>
          <w:i w:val="0"/>
        </w:rPr>
        <w:t>Siglas</w:t>
      </w:r>
      <w:r>
        <w:rPr>
          <w:b w:val="0"/>
          <w:i w:val="0"/>
        </w:rPr>
        <w:t>: la Federación Internacional de Periodistas (</w:t>
      </w:r>
      <w:r>
        <w:rPr>
          <w:b/>
          <w:i w:val="0"/>
        </w:rPr>
        <w:t>FIP</w:t>
      </w:r>
      <w:r>
        <w:rPr>
          <w:b w:val="0"/>
          <w:i w:val="0"/>
        </w:rPr>
        <w:t>), la Organización</w:t>
      </w:r>
      <w:r>
        <w:t xml:space="preserve"> </w:t>
      </w:r>
      <w:r>
        <w:rPr>
          <w:b w:val="0"/>
          <w:i w:val="0"/>
        </w:rPr>
        <w:t>de las Naciones Unidas (</w:t>
      </w:r>
      <w:r>
        <w:rPr>
          <w:b/>
          <w:i w:val="0"/>
        </w:rPr>
        <w:t>ONU</w:t>
      </w:r>
      <w:r>
        <w:rPr>
          <w:b w:val="0"/>
          <w:i w:val="0"/>
        </w:rPr>
        <w:t>), la Corporación de Radio y Televisión Española (</w:t>
      </w:r>
      <w:r>
        <w:rPr>
          <w:b/>
          <w:i w:val="0"/>
        </w:rPr>
        <w:t>RTVE</w:t>
      </w:r>
      <w:r>
        <w:rPr>
          <w:b w:val="0"/>
          <w:i w:val="0"/>
        </w:rPr>
        <w:t>) y el</w:t>
      </w:r>
      <w:r>
        <w:t xml:space="preserve"> </w:t>
      </w:r>
      <w:r>
        <w:rPr>
          <w:b w:val="0"/>
          <w:i w:val="0"/>
        </w:rPr>
        <w:t>fichero de documento portátil (</w:t>
      </w:r>
      <w:r>
        <w:rPr>
          <w:b/>
          <w:i w:val="0"/>
        </w:rPr>
        <w:t>PDF</w:t>
      </w:r>
      <w:r>
        <w:rPr>
          <w:b w:val="0"/>
          <w:i w:val="0"/>
        </w:rPr>
        <w:t>), que es como la Federación publica la carta; la Federación</w:t>
      </w:r>
      <w:r>
        <w:t xml:space="preserve"> </w:t>
      </w:r>
      <w:r>
        <w:rPr>
          <w:b w:val="0"/>
          <w:i w:val="0"/>
        </w:rPr>
        <w:t>Internacional de Periodistas (</w:t>
      </w:r>
      <w:r>
        <w:rPr>
          <w:b/>
          <w:i w:val="0"/>
        </w:rPr>
        <w:t>FIP</w:t>
      </w:r>
      <w:r>
        <w:rPr>
          <w:b w:val="0"/>
          <w:i w:val="0"/>
        </w:rPr>
        <w:t>).</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 · Sonido 17 · Técnica de Equipos y Sistemas Electrónicos 21 · Técnica Informática 27 · Diseño Gráfico 14 · Ing. Técnica Telecomunicación 24 · Ing. Técnica Industrial 17 · Imagen Personal 10 · Téc. Equipos, Instalaciones y Sistemas Eléctricos 17 · Ambientación Vestuario 8 · Ing. Superior Telecomunicación 29 · Profesor de Orquesta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Las veintidós ocupaciones tipo del proyecto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21.199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veintidós ocupaciones tipo que preparamos lo</w:t>
      </w:r>
      <w:r>
        <w:t xml:space="preserve"> </w:t>
      </w:r>
      <w:r>
        <w:rPr>
          <w:b/>
          <w:i w:val="0"/>
        </w:rPr>
        <w:t>llevan, y no lo llevan igual.</w:t>
      </w:r>
      <w:r>
        <w:rPr>
          <w:b w:val="0"/>
          <w:i w:val="0"/>
        </w:rPr>
        <w:t xml:space="preserve"> Hay </w:t>
      </w:r>
      <w:r>
        <w:rPr>
          <w:b/>
          <w:i w:val="0"/>
        </w:rPr>
        <w:t>once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cuatro ocupaciones tipo restantes que este proyecto ha añadido —Diseño Gráfico 14,</w:t>
      </w:r>
      <w:r>
        <w:t xml:space="preserve"> </w:t>
      </w:r>
      <w:r>
        <w:rPr>
          <w:b/>
          <w:i w:val="0"/>
        </w:rPr>
        <w:t>Ingeniería Técnica · Telecomunicación 24, Ingeniería Técnica · Industrial 17 e Ingeniería Superior ·</w:t>
      </w:r>
      <w:r>
        <w:t xml:space="preserve"> </w:t>
      </w:r>
      <w:r>
        <w:rPr>
          <w:b/>
          <w:i w:val="0"/>
        </w:rPr>
        <w:t>Telecomunicación 29— llevan la PRIMERA redacción, palabra por palabra.</w:t>
      </w:r>
      <w:r>
        <w:rPr>
          <w:b w:val="0"/>
          <w:i w:val="0"/>
        </w:rPr>
      </w:r>
    </w:p>
    <w:p>
      <w:pPr>
        <w:pStyle w:val="Citadelanorma"/>
      </w:pPr>
      <w:r>
        <w:rPr>
          <w:b w:val="0"/>
          <w:i w:val="0"/>
        </w:rPr>
      </w:r>
      <w:r>
        <w:rPr>
          <w:b/>
          <w:i w:val="0"/>
        </w:rPr>
        <w:t>Y la undécima es la de Profesor de Orquesta 7</w:t>
      </w:r>
      <w:r>
        <w:rPr>
          <w:b w:val="0"/>
          <w:i w:val="0"/>
        </w:rPr>
        <w:t xml:space="preserve">, que </w:t>
      </w:r>
      <w:r>
        <w:rPr>
          <w:b/>
          <w:i w:val="0"/>
        </w:rPr>
        <w:t>es la única que no lleva ni pantallas ni</w:t>
      </w:r>
      <w:r>
        <w:t xml:space="preserve"> </w:t>
      </w:r>
      <w:r>
        <w:rPr>
          <w:b/>
          <w:i w:val="0"/>
        </w:rPr>
        <w:t>cargas</w:t>
      </w:r>
      <w:r>
        <w:rPr>
          <w:b w:val="0"/>
          <w:i w:val="0"/>
        </w:rPr>
        <w:t xml:space="preserve"> y </w:t>
      </w:r>
      <w:r>
        <w:rPr>
          <w:b/>
          <w:i w:val="0"/>
        </w:rPr>
        <w:t>la única que extiende los trastornos musculoesqueléticos a la extremidad INFERIOR</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Posturas de trabajo: riesgos y medidas preventivas.</w:t>
      </w:r>
      <w:r>
        <w:rPr>
          <w:b w:val="0"/>
          <w:i w:val="0"/>
        </w:rPr>
        <w:t xml:space="preserve"> Trastornos musculoesqueléticos en la</w:t>
      </w:r>
      <w:r>
        <w:t xml:space="preserve"> </w:t>
      </w:r>
      <w:r>
        <w:rPr>
          <w:b w:val="0"/>
          <w:i w:val="0"/>
        </w:rPr>
        <w:t xml:space="preserve">extremidad superior </w:t>
      </w:r>
      <w:r>
        <w:rPr>
          <w:b/>
          <w:i w:val="0"/>
        </w:rPr>
        <w:t>e inferior</w:t>
      </w:r>
      <w:r>
        <w:rPr>
          <w:b w:val="0"/>
          <w:i w:val="0"/>
        </w:rPr>
        <w:t xml:space="preserve">: factores de riesgo y su prevención. </w:t>
      </w:r>
      <w:r>
        <w:rPr>
          <w:b/>
          <w:i w:val="0"/>
        </w:rPr>
        <w:t>Exposición a altos niveles</w:t>
      </w:r>
      <w:r>
        <w:t xml:space="preserve"> </w:t>
      </w:r>
      <w:r>
        <w:rPr>
          <w:b/>
          <w:i w:val="0"/>
        </w:rPr>
        <w:t>de sonido y su prevención.</w:t>
      </w:r>
      <w:r>
        <w:rPr>
          <w:b w:val="0"/>
          <w:i w:val="0"/>
        </w:rPr>
        <w:t xml:space="preserve"> Incendios y medidas preventivas. Accidente in itinere o in misión y</w:t>
      </w:r>
      <w:r>
        <w:t xml:space="preserve"> </w:t>
      </w:r>
      <w:r>
        <w:rPr>
          <w:b w:val="0"/>
          <w:i w:val="0"/>
        </w:rPr>
        <w:t>medidas preventivas.</w:t>
      </w:r>
    </w:p>
    <w:p>
      <w:pPr>
        <w:pStyle w:val="Citadelanorma"/>
      </w:pPr>
      <w:r>
        <w:rPr>
          <w:b w:val="0"/>
          <w:i w:val="0"/>
        </w:rPr>
      </w:r>
      <w:r>
        <w:rPr>
          <w:b/>
          <w:i w:val="0"/>
        </w:rPr>
        <w:t>Tres cosas de esa undécima</w:t>
      </w:r>
      <w:r>
        <w:rPr>
          <w:b w:val="0"/>
          <w:i w:val="0"/>
        </w:rPr>
        <w:t xml:space="preserve">: </w:t>
      </w:r>
      <w:r>
        <w:rPr>
          <w:b/>
          <w:i w:val="0"/>
        </w:rPr>
        <w:t>es la segunda que nombra las posturas de trabajo con rúbrica</w:t>
      </w:r>
      <w:r>
        <w:t xml:space="preserve"> </w:t>
      </w:r>
      <w:r>
        <w:rPr>
          <w:b/>
          <w:i w:val="0"/>
        </w:rPr>
        <w:t>propia</w:t>
      </w:r>
      <w:r>
        <w:rPr>
          <w:b w:val="0"/>
          <w:i w:val="0"/>
        </w:rPr>
        <w:t xml:space="preserve"> —la primera fue Imagen Personal, que las llama «riesgos posturales»—; </w:t>
      </w:r>
      <w:r>
        <w:rPr>
          <w:b/>
          <w:i w:val="0"/>
        </w:rPr>
        <w:t>es la cuarta que</w:t>
      </w:r>
      <w:r>
        <w:t xml:space="preserve"> </w:t>
      </w:r>
      <w:r>
        <w:rPr>
          <w:b/>
          <w:i w:val="0"/>
        </w:rPr>
        <w:t>lleva la exposición a altos niveles de sonido</w:t>
      </w:r>
      <w:r>
        <w:rPr>
          <w:b w:val="0"/>
          <w:i w:val="0"/>
        </w:rPr>
        <w:t xml:space="preserve">, que </w:t>
      </w:r>
      <w:r>
        <w:rPr>
          <w:b/>
          <w:i w:val="0"/>
        </w:rPr>
        <w:t>el apartado 5 de este tema desarrolla con su</w:t>
      </w:r>
      <w:r>
        <w:t xml:space="preserve"> </w:t>
      </w:r>
      <w:r>
        <w:rPr>
          <w:b/>
          <w:i w:val="0"/>
        </w:rPr>
        <w:t>norma delante; y es la ÚNICA de las veintidós que extiende los trastornos musculoesqueléticos a la</w:t>
      </w:r>
      <w:r>
        <w:t xml:space="preserve"> </w:t>
      </w:r>
      <w:r>
        <w:rPr>
          <w:b/>
          <w:i w:val="0"/>
        </w:rPr>
        <w:t>extremidad inferior.</w:t>
      </w:r>
      <w:r>
        <w:rPr>
          <w:b w:val="0"/>
          <w:i w:val="0"/>
        </w:rPr>
        <w:t xml:space="preserve"> </w:t>
      </w:r>
      <w:r>
        <w:rPr>
          <w:b/>
          <w:i w:val="0"/>
        </w:rPr>
        <w:t>Esa extensión no abre apartado nuevo</w:t>
      </w:r>
      <w:r>
        <w:rPr>
          <w:b w:val="0"/>
          <w:i w:val="0"/>
        </w:rPr>
        <w:t xml:space="preserve">: </w:t>
      </w:r>
      <w:r>
        <w:rPr>
          <w:b/>
          <w:i w:val="0"/>
        </w:rPr>
        <w:t>el apartado 3 la desarrolla ya</w:t>
      </w:r>
      <w:r>
        <w:rPr>
          <w:b w:val="0"/>
          <w:i w:val="0"/>
        </w:rPr>
        <w:t>,</w:t>
      </w:r>
      <w:r>
        <w:t xml:space="preserve"> </w:t>
      </w:r>
      <w:r>
        <w:rPr>
          <w:b w:val="0"/>
          <w:i w:val="0"/>
        </w:rPr>
        <w:t xml:space="preserve">porque </w:t>
      </w:r>
      <w:r>
        <w:rPr>
          <w:b/>
          <w:i w:val="0"/>
        </w:rPr>
        <w:t>los factores de riesgo y la prevención son los mismos y la fuente los trata juntos.</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veintidós</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w:t>
            </w:r>
            <w:r>
              <w:rPr>
                <w:b/>
                <w:i w:val="0"/>
              </w:rPr>
              <w:t>Ambientación Vestuario</w:t>
            </w:r>
            <w:r>
              <w:rPr>
                <w:b w:val="0"/>
                <w:i w:val="0"/>
              </w:rPr>
              <w:t xml:space="preserve"> y </w:t>
            </w:r>
            <w:r>
              <w:rPr>
                <w:b/>
                <w:i w:val="0"/>
              </w:rPr>
              <w:t>Profesor de Orquesta</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w:t>
            </w:r>
            <w:r>
              <w:rPr>
                <w:b/>
                <w:i w:val="0"/>
              </w:rPr>
              <w:t>Profesor de Orquesta es la única que los extiende a la extremidad INFERIOR</w:t>
            </w:r>
            <w:r>
              <w:rPr>
                <w:b w:val="0"/>
                <w:i w:val="0"/>
              </w:rPr>
              <w:t xml:space="preserve">, y </w:t>
            </w:r>
            <w:r>
              <w:rPr>
                <w:b/>
                <w:i w:val="0"/>
              </w:rPr>
              <w:t>esa extensión no abre apartado nuevo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w:t>
            </w:r>
            <w:r>
              <w:rPr>
                <w:b/>
                <w:i w:val="0"/>
              </w:rPr>
              <w:t>Sonido</w:t>
            </w:r>
            <w:r>
              <w:rPr>
                <w:b w:val="0"/>
                <w:i w:val="0"/>
              </w:rPr>
              <w:t xml:space="preserve"> y </w:t>
            </w:r>
            <w:r>
              <w:rPr>
                <w:b/>
                <w:i w:val="0"/>
              </w:rPr>
              <w:t>Profesor de Orquesta</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veintidós</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veintidós</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Imagen Personal la llama «riesgos posturales» y Profesor de Orquesta «posturas de trabajo».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