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113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EBU · </w:t>
      </w:r>
      <w:r>
        <w:rPr>
          <w:rStyle w:val="Código"/>
          <w:b w:val="0"/>
          <w:i w:val="0"/>
        </w:rPr>
        <w:t>[inst]</w:t>
      </w:r>
      <w:r>
        <w:rPr>
          <w:b w:val="0"/>
          <w:i w:val="0"/>
        </w:rPr>
        <w:t xml:space="preserve"> = documentación institucional</w:t>
      </w:r>
      <w:r>
        <w:t xml:space="preserve"> </w:t>
      </w:r>
      <w:r>
        <w:rPr>
          <w:b w:val="0"/>
          <w:i w:val="0"/>
        </w:rPr>
        <w:t>—FORTA, Academia de Televisión, CIMA, DAMA—, leída el 03/09/2026.</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