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113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**2 de septiembre de</w:t>
      </w:r>
      <w:r>
        <w:t xml:space="preserve"> </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Centro Internacional del ISSN, leída el **2 de septiembre de</w:t>
      </w:r>
      <w:r>
        <w:t xml:space="preserve"> </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7.1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cuál NO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ITC-BT-24</w:t>
      </w:r>
      <w:r>
        <w:rPr>
          <w:b w:val="0"/>
          <w:i w:val="0"/>
        </w:rPr>
        <w:t xml:space="preserve"> de</w:t>
      </w:r>
      <w:r>
        <w:t xml:space="preserve"> </w:t>
      </w:r>
      <w:r>
        <w:rPr>
          <w:b w:val="0"/>
          <w:i w:val="0"/>
        </w:rPr>
        <w:t>ese mismo reglamento —«Instalaciones interiores o receptoras. Protección contra los contactos</w:t>
      </w:r>
      <w:r>
        <w:t xml:space="preserve"> </w:t>
      </w:r>
      <w:r>
        <w:rPr>
          <w:b w:val="0"/>
          <w:i w:val="0"/>
        </w:rPr>
        <w:t xml:space="preserve">directos e 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7.6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7</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