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209 preguntas reales de examen</w:t>
      </w:r>
    </w:p>
    <w:p>
      <w:pPr>
        <w:pStyle w:val="Portadadato"/>
      </w:pPr>
      <w:r>
        <w:t>Generado el 02/09/2026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cuándo’ de María Elena Morán.</w:t>
      </w:r>
    </w:p>
    <w:p>
      <w:pPr>
        <w:pStyle w:val="Opción"/>
      </w:pPr>
      <w:r>
        <w:t>c) ‘Antes de que llegue el olvido’ de Ana Rodríguez Fischer y, finalista, ‘Volver Ganadora, llegado’ de Antonio Fontana. ‘Los nombres prestados’ de Alexis Ravelo y, finalista, ‘Hasta aquí hemos</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provenientes de China, ¿cuál de estos productos está afectado? la Unión Europea estableció nuevos aranceles a productos</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medioambiente. las condiciones de las actividades agrícolas perjudiciales con el</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la información sobre su vida privada se obtiene a través de personas o medios Si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t>**El artículo 2 dice que el periodista defenderá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t xml:space="preserve">Telegrama. </w:t>
      </w:r>
      <w:r>
        <w:rPr>
          <w:b/>
          <w:i w:val="0"/>
        </w:rPr>
        <w:t>Todo sale de la propia carta</w:t>
      </w:r>
      <w:r>
        <w:rPr>
          <w:b w:val="0"/>
          <w:i w:val="0"/>
        </w:rPr>
        <w:t>, que cabe en una página.</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11.811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11.1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cuál NO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ITC-BT-24</w:t>
      </w:r>
      <w:r>
        <w:rPr>
          <w:b w:val="0"/>
          <w:i w:val="0"/>
        </w:rPr>
        <w:t xml:space="preserve"> de</w:t>
      </w:r>
      <w:r>
        <w:t xml:space="preserve"> </w:t>
      </w:r>
      <w:r>
        <w:rPr>
          <w:b w:val="0"/>
          <w:i w:val="0"/>
        </w:rPr>
        <w:t>ese mismo reglamento —«Instalaciones interiores o receptoras. Protección contra los contactos</w:t>
      </w:r>
      <w:r>
        <w:t xml:space="preserve"> </w:t>
      </w:r>
      <w:r>
        <w:rPr>
          <w:b w:val="0"/>
          <w:i w:val="0"/>
        </w:rPr>
        <w:t xml:space="preserve">directos e 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11.6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