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las siete ocupaciones tipo: Producción (Asistencia), Producción, Gestión Administrativa, Gestión, Realización (Asistencia), Documentación e Información y Contenidos</w:t>
      </w:r>
    </w:p>
    <w:p>
      <w:pPr>
        <w:pStyle w:val="Portadadato"/>
      </w:pPr>
      <w:r>
        <w:t>Redacción vigente a 21 de diciembre de 2022</w:t>
      </w:r>
    </w:p>
    <w:p>
      <w:pPr>
        <w:pStyle w:val="Portadadato"/>
      </w:pPr>
      <w:r>
        <w:t>Ocho temas · ocho esquemas de repaso · 492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119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La tutela judicial incluirá para el restablecimiento del derecho violado, en caso de intromisión en el derecho al honor:</w:t>
      </w:r>
    </w:p>
    <w:p>
      <w:pPr>
        <w:pStyle w:val="Opción"/>
      </w:pPr>
      <w:r>
        <w:t>a) La publicación íntegra en todos los casos de la sentencia condenatoria a costa del condenado con al menos la misma difusión pública que tuvo la intromisión sufrida</w:t>
      </w:r>
    </w:p>
    <w:p>
      <w:pPr>
        <w:pStyle w:val="Opción"/>
      </w:pPr>
      <w:r>
        <w:t>b) La publicación total o parcial de la sentencia condenatoria a costa del condenado con al menos la misma difusión pública que tuvo la intromisión sufrida</w:t>
      </w:r>
    </w:p>
    <w:p>
      <w:pPr>
        <w:pStyle w:val="Opción"/>
      </w:pPr>
      <w:r>
        <w:t>c) La publicación únicamente del fallo de la sentencia condenatoria a costa del condenado con al menos la misma difusión pública que tuvo la intromisión sufrida</w:t>
      </w:r>
    </w:p>
    <w:p>
      <w:pPr>
        <w:pStyle w:val="Opción"/>
      </w:pPr>
      <w:r>
        <w:t>d) La publicación total de la sentencia condenatoria en el BOE, a costa del condenado</w:t>
      </w:r>
    </w:p>
    <w:p>
      <w:pPr>
        <w:pStyle w:val="Pregunta"/>
      </w:pPr>
      <w:r>
        <w:rPr>
          <w:rStyle w:val="Númerodepregunta"/>
        </w:rPr>
        <w:t xml:space="preserve">24. </w:t>
      </w:r>
      <w:r>
        <w:rPr>
          <w:b/>
        </w:rPr>
        <w:t>La aprobación, modificación o derogación de las leyes orgánicas en una votación final sobre el conjunto del proyecto exige</w:t>
      </w:r>
    </w:p>
    <w:p>
      <w:pPr>
        <w:pStyle w:val="Opción"/>
      </w:pPr>
      <w:r>
        <w:t>a) Mayoría absoluta del Congreso</w:t>
      </w:r>
    </w:p>
    <w:p>
      <w:pPr>
        <w:pStyle w:val="Opción"/>
      </w:pPr>
      <w:r>
        <w:t>b) Mayoría simple del Congreso</w:t>
      </w:r>
    </w:p>
    <w:p>
      <w:pPr>
        <w:pStyle w:val="Opción"/>
      </w:pPr>
      <w:r>
        <w:t>c) Mayoría de 3/5 del Congreso</w:t>
      </w:r>
    </w:p>
    <w:p>
      <w:pPr>
        <w:pStyle w:val="Opción"/>
      </w:pPr>
      <w:r>
        <w:t>d) Mayoría de 2/3 del Congreso</w:t>
      </w:r>
    </w:p>
    <w:p>
      <w:pPr>
        <w:pStyle w:val="Pregunta"/>
      </w:pPr>
      <w:r>
        <w:rPr>
          <w:rStyle w:val="Númerodepregunta"/>
        </w:rPr>
        <w:t xml:space="preserve">25. </w:t>
      </w:r>
      <w:r>
        <w:rPr>
          <w:b/>
        </w:rPr>
        <w:t>El derecho al honor, a la intimidad personal y familiar y a la propia imagen es:</w:t>
      </w:r>
    </w:p>
    <w:p>
      <w:pPr>
        <w:pStyle w:val="Opción"/>
      </w:pPr>
      <w:r>
        <w:t>a) Irrenunciable y prescribe a los cinco años</w:t>
      </w:r>
    </w:p>
    <w:p>
      <w:pPr>
        <w:pStyle w:val="Opción"/>
      </w:pPr>
      <w:r>
        <w:t>b) Renunciable e imprescriptible</w:t>
      </w:r>
    </w:p>
    <w:p>
      <w:pPr>
        <w:pStyle w:val="Opción"/>
      </w:pPr>
      <w:r>
        <w:t>c) Irrenunciable, inalienable e imprescriptible</w:t>
      </w:r>
    </w:p>
    <w:p>
      <w:pPr>
        <w:pStyle w:val="Opción"/>
      </w:pPr>
      <w:r>
        <w:t>d) Irrenunciable, enajenable e imprescriptible</w:t>
      </w:r>
    </w:p>
    <w:p>
      <w:pPr>
        <w:pStyle w:val="Pregunta"/>
      </w:pPr>
      <w:r>
        <w:rPr>
          <w:rStyle w:val="Númerodepregunta"/>
        </w:rPr>
        <w:t xml:space="preserve">26.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27.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28.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29.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30.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31.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32.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33.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34.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mismas, las iniciativas populares respaldadas por mas de cien mil firmas y los sindicatos mas representativos.</w:t>
      </w:r>
    </w:p>
    <w:p>
      <w:pPr>
        <w:pStyle w:val="Opción"/>
      </w:pPr>
      <w:r>
        <w:t>b) Están legitimados para interponer el recurso de inconstitucionalidad, el Presidente del Gobierno, el Defensor del Pueblo, 150 Diputados, 150 Senadores, los órganos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35.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36.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37.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38.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39.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40.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41.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42.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43.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44.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funciones constitucionales, salvo lo dispuesto para la Regencia.</w:t>
      </w:r>
    </w:p>
    <w:p>
      <w:pPr>
        <w:pStyle w:val="Pregunta"/>
      </w:pPr>
      <w:r>
        <w:rPr>
          <w:rStyle w:val="Númerodepregunta"/>
        </w:rPr>
        <w:t xml:space="preserve">45.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46.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47.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48.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49.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50.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51.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52.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53.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54.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55.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56.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57.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58. </w:t>
      </w:r>
      <w:r>
        <w:rPr>
          <w:b/>
        </w:rPr>
        <w:t>¿Qué artículo de la Constitución fue reformado el pasado 17 de febrero con el objetivo de cambiar el término y tratamiento a las personas discapacitadas y desarrollar su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59.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60.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61.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62.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63.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64.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65.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66.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67.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68.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69.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70.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71.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72.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73.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74.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75.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76.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77.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78.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79.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80.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81.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82.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83.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84.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85.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86.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87.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88.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89.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90. </w:t>
      </w:r>
      <w:r>
        <w:rPr>
          <w:b/>
        </w:rPr>
        <w:t>Según el artículo 149 de la Constitución Española, la legislación sobre propiedad intelectual e industrial es:</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91.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92.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93.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94.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95.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96.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97.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98.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99.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100.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101.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102.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103.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104.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105.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106.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107.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108.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109.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110.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111.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112.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113.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114.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115. </w:t>
      </w:r>
      <w:r>
        <w:rPr>
          <w:b/>
        </w:rPr>
        <w:t>La Constitución Española, en su artículo 97 dice que:</w:t>
      </w:r>
    </w:p>
    <w:p>
      <w:pPr>
        <w:pStyle w:val="Opción"/>
      </w:pPr>
      <w:r>
        <w:t>a) El Gobierno dirige la política interior y exterior, la Administración civil y militar y la defensa del Estado.</w:t>
      </w:r>
    </w:p>
    <w:p>
      <w:pPr>
        <w:pStyle w:val="Opción"/>
      </w:pPr>
      <w:r>
        <w:t>b)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116.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117.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118.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119.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ejercicio de su función de servicio público, la Corporación RTVE deberá (señale la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Impulsar el intercambio de la información y el conocimiento mutuo entre los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compuesta por largometrajes y cortometrajes cinematográficos, películas para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123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w:t>
      </w:r>
    </w:p>
    <w:p>
      <w:pPr>
        <w:pStyle w:val="Opción"/>
      </w:pPr>
      <w:r>
        <w:t>c) Cada grupo profesional tiene asignado un nivel básico de acceso y niveles complementarios, a los que van asociados las correspondientes retribuciones básicas o complementarias.</w:t>
      </w:r>
    </w:p>
    <w:p>
      <w:pPr>
        <w:pStyle w:val="Opción"/>
      </w:pPr>
      <w:r>
        <w:t>d) Las personas que trabaje a tiempo parcial percibirán sus retribuciones en proporción a la que tuvieran señaladas.</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III Convenio Colectivo de la Corporación RTVE para el disfrute del periodo vacacional retribuido?</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III Convenio Colectivo de la Corporación para las personas que trabajan en Canarias, Baleares, Ceuta y Melilla?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45.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46.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47.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48.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49.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50.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51.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52.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53.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54. </w:t>
      </w:r>
      <w:r>
        <w:rPr>
          <w:b/>
        </w:rPr>
        <w:t>Según el Artículo 102 del III Convenio Colectivo de la CRTVE, podrán solicitar excedencia voluntaria aquellas personas trabajadoras con antigüedad , al menos de:</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55.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56.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57.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58.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59.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60.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61.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62.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63.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64.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65.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66.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67.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68.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69.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70.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71.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72.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73.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74.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75. </w:t>
      </w:r>
      <w:r>
        <w:rPr>
          <w:b/>
        </w:rPr>
        <w:t>Según el III Convenio Colectivo de RTVE, ¿qué se garantiza a los trabajadores en términos de igualdad?</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76.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77.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78.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79.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80.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81.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82.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83.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84.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85.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86.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87.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88.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89.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90.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91.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92.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93.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94.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95.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96.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97.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98. </w:t>
      </w:r>
      <w:r>
        <w:rPr>
          <w:b/>
        </w:rPr>
        <w:t>En comisión de servicio, ¿cómo se computan las horas que excedan del total de las horas ordinarias?</w:t>
      </w:r>
    </w:p>
    <w:p>
      <w:pPr>
        <w:pStyle w:val="Opción"/>
      </w:pPr>
      <w:r>
        <w:t>a) No se computan, ya que todas las horas que se hagan ya están reguladas en la propia comisión.</w:t>
      </w:r>
    </w:p>
    <w:p>
      <w:pPr>
        <w:pStyle w:val="Opción"/>
      </w:pPr>
      <w:r>
        <w:t>b) Se consideran como descanso.</w:t>
      </w:r>
    </w:p>
    <w:p>
      <w:pPr>
        <w:pStyle w:val="Opción"/>
      </w:pPr>
      <w:r>
        <w:t>c) Se abonan como horas extraordinarias.</w:t>
      </w:r>
    </w:p>
    <w:p>
      <w:pPr>
        <w:pStyle w:val="Opción"/>
      </w:pPr>
      <w:r>
        <w:t>d) Se hace un cálculo y se descuentan de la comisión para pasarlo al banco de horas.</w:t>
      </w:r>
    </w:p>
    <w:p>
      <w:pPr>
        <w:pStyle w:val="Pregunta"/>
      </w:pPr>
      <w:r>
        <w:rPr>
          <w:rStyle w:val="Númerodepregunta"/>
        </w:rPr>
        <w:t xml:space="preserve">99.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100.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101.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102. </w:t>
      </w:r>
      <w:r>
        <w:rPr>
          <w:b/>
        </w:rPr>
        <w:t>¿Cuál de las siguientes se considera falta grave?</w:t>
      </w:r>
    </w:p>
    <w:p>
      <w:pPr>
        <w:pStyle w:val="Opción"/>
      </w:pPr>
      <w:r>
        <w:t>a) Simular la presencia de otra persona contestando, firmando o fichando por ella la entrada o salida del trabajo o cualquier hoja de control de presencia.</w:t>
      </w:r>
    </w:p>
    <w:p>
      <w:pPr>
        <w:pStyle w:val="Opción"/>
      </w:pPr>
      <w:r>
        <w:t>b) La inasistencia al trabajo, injustificada o sin autorización, de un día en el período de un mes.</w:t>
      </w:r>
    </w:p>
    <w:p>
      <w:pPr>
        <w:pStyle w:val="Opción"/>
      </w:pPr>
      <w:r>
        <w:t>c) No atender a superiores o subordinados con la corrección y diligencias debidas.</w:t>
      </w:r>
    </w:p>
    <w:p>
      <w:pPr>
        <w:pStyle w:val="Opción"/>
      </w:pPr>
      <w:r>
        <w:t>d) Demora injustificada en la ejecución del trabajo a realizar.</w:t>
      </w:r>
    </w:p>
    <w:p>
      <w:pPr>
        <w:pStyle w:val="Pregunta"/>
      </w:pPr>
      <w:r>
        <w:rPr>
          <w:rStyle w:val="Númerodepregunta"/>
        </w:rPr>
        <w:t xml:space="preserve">103. </w:t>
      </w:r>
      <w:r>
        <w:rPr>
          <w:b/>
        </w:rPr>
        <w:t>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w:t>
      </w:r>
    </w:p>
    <w:p>
      <w:pPr>
        <w:pStyle w:val="Pregunta"/>
      </w:pPr>
      <w:r>
        <w:rPr>
          <w:rStyle w:val="Númerodepregunta"/>
        </w:rPr>
        <w:t xml:space="preserve">104. </w:t>
      </w:r>
      <w:r>
        <w:rPr>
          <w:b/>
        </w:rPr>
        <w:t>¿Qué jornada máxima permite desarrollar un complemento de jornada de rodaje?</w:t>
      </w:r>
    </w:p>
    <w:p>
      <w:pPr>
        <w:pStyle w:val="Opción"/>
      </w:pPr>
      <w:r>
        <w:t>a) No hay límite de jornada.</w:t>
      </w:r>
    </w:p>
    <w:p>
      <w:pPr>
        <w:pStyle w:val="Opción"/>
      </w:pPr>
      <w:r>
        <w:t>b) 10 horas.</w:t>
      </w:r>
    </w:p>
    <w:p>
      <w:pPr>
        <w:pStyle w:val="Opción"/>
      </w:pPr>
      <w:r>
        <w:t>c) 15 horas.</w:t>
      </w:r>
    </w:p>
    <w:p>
      <w:pPr>
        <w:pStyle w:val="Opción"/>
      </w:pPr>
      <w:r>
        <w:t>d) 12 horas.</w:t>
      </w:r>
    </w:p>
    <w:p>
      <w:pPr>
        <w:pStyle w:val="Pregunta"/>
      </w:pPr>
      <w:r>
        <w:rPr>
          <w:rStyle w:val="Númerodepregunta"/>
        </w:rPr>
        <w:t xml:space="preserve">105.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 s 8 s 8</w:t>
      </w:r>
    </w:p>
    <w:p>
      <w:pPr>
        <w:pStyle w:val="Pregunta"/>
      </w:pPr>
      <w:r>
        <w:rPr>
          <w:rStyle w:val="Númerodepregunta"/>
        </w:rPr>
        <w:t xml:space="preserve">106.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107.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108. </w:t>
      </w:r>
      <w:r>
        <w:rPr>
          <w:b/>
        </w:rPr>
        <w:t>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w:t>
      </w:r>
    </w:p>
    <w:p>
      <w:pPr>
        <w:pStyle w:val="Pregunta"/>
      </w:pPr>
      <w:r>
        <w:rPr>
          <w:rStyle w:val="Númerodepregunta"/>
        </w:rPr>
        <w:t xml:space="preserve">109. </w:t>
      </w:r>
      <w:r>
        <w:rPr>
          <w:b/>
        </w:rPr>
        <w:t>Según el III Convenio Colectivo de la Corporación de RTVE, la ocupación tipo de realización, ¿pertenece al ámbito ocupacional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110.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111.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112.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113.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114.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115.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116.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117.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118.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119.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120.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121.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122.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123.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 xml:space="preserve">incluida la del tipo «¿cuál </w:t>
      </w:r>
      <w:r>
        <w:rPr>
          <w:b w:val="0"/>
          <w:i/>
        </w:rPr>
        <w:t>no</w:t>
      </w:r>
      <w:r>
        <w:rPr>
          <w:b w:val="0"/>
          <w:i w:val="0"/>
        </w:rPr>
        <w:t xml:space="preserve">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48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indique cual de las respuestas NO es una construcción sexista: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lenguaje sexista o sexismo lingüístico como aquel que:</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la concienciación y prevenir los comportamientos sexistas.</w:t>
      </w:r>
    </w:p>
    <w:p>
      <w:pPr>
        <w:pStyle w:val="Opción"/>
      </w:pPr>
      <w:r>
        <w:t>c)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implica la igualdad de género según Naciones Unidas?</w:t>
      </w:r>
    </w:p>
    <w:p>
      <w:pPr>
        <w:pStyle w:val="Opción"/>
      </w:pPr>
      <w:r>
        <w:t>a) Que hombres y mujeres reciban beneficios diferentes según su rol familiar.</w:t>
      </w:r>
    </w:p>
    <w:p>
      <w:pPr>
        <w:pStyle w:val="Opción"/>
      </w:pPr>
      <w:r>
        <w:t>b) Que se valoren las diferencias físicas entre hombres y mujeres en la toma de decisiones.</w:t>
      </w:r>
    </w:p>
    <w:p>
      <w:pPr>
        <w:pStyle w:val="Opción"/>
      </w:pPr>
      <w:r>
        <w:t>c) Que hombres y mujeres tengan las mismas condiciones, trato y oportunidades.</w:t>
      </w:r>
    </w:p>
    <w:p>
      <w:pPr>
        <w:pStyle w:val="Opción"/>
      </w:pPr>
      <w:r>
        <w:t>d) Que se priorice a las mujeres en sectores tradicionalmente masculinos.</w:t>
      </w:r>
    </w:p>
    <w:p>
      <w:pPr>
        <w:pStyle w:val="Pregunta"/>
      </w:pPr>
      <w:r>
        <w:rPr>
          <w:rStyle w:val="Númerodepregunta"/>
        </w:rPr>
        <w:t xml:space="preserve">44.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w:t>
      </w:r>
    </w:p>
    <w:p>
      <w:pPr>
        <w:pStyle w:val="Pregunta"/>
      </w:pPr>
      <w:r>
        <w:rPr>
          <w:rStyle w:val="Númerodepregunta"/>
        </w:rPr>
        <w:t xml:space="preserve">45.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Igualdad y Diversidad y 7 representantes de la parte social.</w:t>
      </w:r>
    </w:p>
    <w:p>
      <w:pPr>
        <w:pStyle w:val="Opción"/>
      </w:pPr>
      <w:r>
        <w:t>d) 6 representantes de la dirección, 5 representantes de la parte social y 2 representantes de la comisión permanente de igualdad del Senado.</w:t>
      </w:r>
    </w:p>
    <w:p>
      <w:pPr>
        <w:pStyle w:val="Pregunta"/>
      </w:pPr>
      <w:r>
        <w:rPr>
          <w:rStyle w:val="Númerodepregunta"/>
        </w:rPr>
        <w:t xml:space="preserve">46.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47.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48.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8.292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48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logotipo, o cualquier otro símbolo, producto o servicio del patrocinador dentro del programa patrocinado.</w:t>
      </w:r>
    </w:p>
    <w:p>
      <w:pPr>
        <w:pStyle w:val="Opción"/>
      </w:pPr>
      <w:r>
        <w:t>b)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Pluralismo en el mercado de comunicación audiovisual televisivo lineal mediante ondas hertzianas terrestres. Las personas físicas y jurídicas pueden ser titulares simultáneamente de participaciones sociales o derechos de voto en diferentes prestadores del servicio de comunicación audiovisual televisivo. Límites a este principio (señalar la correcta):</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w:t>
      </w:r>
    </w:p>
    <w:p>
      <w:pPr>
        <w:pStyle w:val="Opción"/>
      </w:pPr>
      <w:r>
        <w:t>b) Servicio de comunicación audiovisual que se presta para el montaje alternativo de programas y contenidos audiovisuales sobre la base de una jornada de programación</w:t>
      </w:r>
    </w:p>
    <w:p>
      <w:pPr>
        <w:pStyle w:val="Opción"/>
      </w:pPr>
      <w:r>
        <w:t>c) Servicio de comunicación audiovisual que se presta para el visionado simultáneo de programas y contenidos audiovisuales sobre la base de una jornada de programación</w:t>
      </w:r>
    </w:p>
    <w:p>
      <w:pPr>
        <w:pStyle w:val="Opción"/>
      </w:pPr>
      <w:r>
        <w:t>d) Servicio de comunicación audiovisual que se presta para el visionado simultáneo de programas y contenidos audiovisuales sobre la base de un horario de programación</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Según el artículo 115 de la Ley 13/2022 General de Comunicación Audiovisual, los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servicios de comunicación audiovisual radiofónicos mediante ondas hertzianas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¿Cuáles son las tres franjas de protección reforzada para el público infantil, entendiendo por tal a los menores de trece años, según la Ley General de la Comunicación Audiovisual?</w:t>
      </w:r>
    </w:p>
    <w:p>
      <w:pPr>
        <w:pStyle w:val="Opción"/>
      </w:pPr>
      <w:r>
        <w:t>a) Desde las 6 hasta las 22 horas.</w:t>
      </w:r>
    </w:p>
    <w:p>
      <w:pPr>
        <w:pStyle w:val="Opción"/>
      </w:pPr>
      <w:r>
        <w:t>b) Entre las 8 y las 9 horas y entre las 17 y las 20.</w:t>
      </w:r>
    </w:p>
    <w:p>
      <w:pPr>
        <w:pStyle w:val="Opción"/>
      </w:pPr>
      <w:r>
        <w:t>c) Entre las 8 y las 9 horas y entre las 17 y las 20 horas en días laborables y entre las 9 y las 12 horas los días 1 y 6 de enero, Viernes Santo, 1 de mayo, 12 de octubre, 1 de noviembre y 6,8 y 25 de diciembre.</w:t>
      </w:r>
    </w:p>
    <w:p>
      <w:pPr>
        <w:pStyle w:val="Opción"/>
      </w:pPr>
      <w:r>
        <w:t>d) Entre las 8 y las 9 horas y entre las 17 y las 20 horas en días laborables y entre las 9 y las 12 horas sábados, domingos y fiestas de ámbito estatal.</w:t>
      </w:r>
    </w:p>
    <w:p>
      <w:pPr>
        <w:pStyle w:val="Pregunta"/>
      </w:pPr>
      <w:r>
        <w:rPr>
          <w:rStyle w:val="Númerodepregunta"/>
        </w:rPr>
        <w:t xml:space="preserve">48. </w:t>
      </w:r>
      <w:r>
        <w:rPr>
          <w:b/>
        </w:rPr>
        <w:t>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w:t>
      </w:r>
    </w:p>
    <w:p>
      <w:pPr>
        <w:pStyle w:val="Opción"/>
      </w:pPr>
      <w:r>
        <w:t>d)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66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 entiende por riesgo laborable grave e inminente:</w:t>
      </w:r>
    </w:p>
    <w:p>
      <w:pPr>
        <w:pStyle w:val="Opción"/>
      </w:pPr>
      <w:r>
        <w:t>a) Aquel que resulte cierto racionalmente que se materialice en un futuro inmediato y pueda suponer un daño grave para la salud de los trabajadores.</w:t>
      </w:r>
    </w:p>
    <w:p>
      <w:pPr>
        <w:pStyle w:val="Opción"/>
      </w:pPr>
      <w:r>
        <w:t>b) Aquel que resulte probable racionalmente que se materialice en un futuro mediato y pueda suponer un daño grave para la salud de los trabajadores.</w:t>
      </w:r>
    </w:p>
    <w:p>
      <w:pPr>
        <w:pStyle w:val="Opción"/>
      </w:pPr>
      <w:r>
        <w:t>c) Aquel que resulte probable racionalmente que se materialice en un futuro inmediato o pueda suponer un daño grave la salud de los trabajadores.</w:t>
      </w:r>
    </w:p>
    <w:p>
      <w:pPr>
        <w:pStyle w:val="Opción"/>
      </w:pPr>
      <w:r>
        <w:t>d) Aquel que resulte probable racionalmente que se materialice en un futuro inmediato y pueda suponer un daño grave la salud de los trabajadores.</w:t>
      </w:r>
    </w:p>
    <w:p>
      <w:pPr>
        <w:pStyle w:val="Pregunta"/>
      </w:pPr>
      <w:r>
        <w:rPr>
          <w:rStyle w:val="Númerodepregunta"/>
        </w:rPr>
        <w:t xml:space="preserve">9.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10.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11.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12.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13.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14. </w:t>
      </w:r>
      <w:r>
        <w:rPr>
          <w:b/>
        </w:rPr>
        <w:t>Se entenderá como riesgo laboral:</w:t>
      </w:r>
    </w:p>
    <w:p>
      <w:pPr>
        <w:pStyle w:val="Opción"/>
      </w:pPr>
      <w:r>
        <w:t>a) Cualquier máquina, aparato, instrumento o instalación utilizada en el trabajo y que provoque peligro para la vida del trabajador.</w:t>
      </w:r>
    </w:p>
    <w:p>
      <w:pPr>
        <w:pStyle w:val="Opción"/>
      </w:pPr>
      <w:r>
        <w:t>b) Las enfermedades, patologías o lesiones sufridas con motivo u ocasión del trabajo.</w:t>
      </w:r>
    </w:p>
    <w:p>
      <w:pPr>
        <w:pStyle w:val="Opción"/>
      </w:pPr>
      <w:r>
        <w:t>c) La posibilidad de que un trabajador sufra un determinado daño derivado del trabajo.</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15.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16. </w:t>
      </w:r>
      <w:r>
        <w:rPr>
          <w:b/>
        </w:rPr>
        <w:t>A efectos de la Ley de Prevención de Riesgos se entiende como «daños derivados del trabajo»:</w:t>
      </w:r>
    </w:p>
    <w:p>
      <w:pPr>
        <w:pStyle w:val="Opción"/>
      </w:pPr>
      <w:r>
        <w:t>a) Los diseños industriales, las patentes y la maquinaria industrial</w:t>
      </w:r>
    </w:p>
    <w:p>
      <w:pPr>
        <w:pStyle w:val="Opción"/>
      </w:pPr>
      <w:r>
        <w:t>b) Las enfermedades, patologías o lesiones sufridas con motivo u ocasión del trabajo</w:t>
      </w:r>
    </w:p>
    <w:p>
      <w:pPr>
        <w:pStyle w:val="Opción"/>
      </w:pPr>
      <w:r>
        <w:t>c) Las disposiciones legales o reglamentarias y sus correspondientes proyectos</w:t>
      </w:r>
    </w:p>
    <w:p>
      <w:pPr>
        <w:pStyle w:val="Opción"/>
      </w:pPr>
      <w:r>
        <w:t>d) Aquellos que resulte probable racionalmente que se materialicen en un futuro inmediato</w:t>
      </w:r>
    </w:p>
    <w:p>
      <w:pPr>
        <w:pStyle w:val="Pregunta"/>
      </w:pPr>
      <w:r>
        <w:rPr>
          <w:rStyle w:val="Númerodepregunta"/>
        </w:rPr>
        <w:t xml:space="preserve">17.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18.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19.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20.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21.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22.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23.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jerárquico directo, y a los trabajadores designados para realizar actividades de protección y de prevención o, en su caso, al servicio de prevención.</w:t>
      </w:r>
    </w:p>
    <w:p>
      <w:pPr>
        <w:pStyle w:val="Pregunta"/>
      </w:pPr>
      <w:r>
        <w:rPr>
          <w:rStyle w:val="Númerodepregunta"/>
        </w:rPr>
        <w:t xml:space="preserve">24.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25.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26.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27.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28.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29.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30.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31.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32. </w:t>
      </w:r>
      <w:r>
        <w:rPr>
          <w:b/>
        </w:rPr>
        <w:t>¿Cuál de los siguiente es un deber del trabajador en materia de riesgos laborales?</w:t>
      </w:r>
    </w:p>
    <w:p>
      <w:pPr>
        <w:pStyle w:val="Opción"/>
      </w:pPr>
      <w:r>
        <w:t>a) Contribuir al cumplimiento de las obligaciones establecidas por la autoridad competente.</w:t>
      </w:r>
    </w:p>
    <w:p>
      <w:pPr>
        <w:pStyle w:val="Opción"/>
      </w:pPr>
      <w:r>
        <w:t>b)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33.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34.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35.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36.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37.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38.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39.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40.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41.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42.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43.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44.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45.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46.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47.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48.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49.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50.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51.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52.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53.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54.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55.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56.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57.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58.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59.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60.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61.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62.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63. </w:t>
      </w:r>
      <w:r>
        <w:rPr>
          <w:b/>
        </w:rPr>
        <w:t>Según la Ley 31/1995, de 8 de noviembre, de prevención de Riesgos Laborales, la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64.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las medidas que crean necesarias.</w:t>
      </w:r>
    </w:p>
    <w:p>
      <w:pPr>
        <w:pStyle w:val="Opción"/>
      </w:pPr>
      <w:r>
        <w:t>d) Sustituir lo peligroso por lo que entrañe poco o ningún peligro.</w:t>
      </w:r>
    </w:p>
    <w:p>
      <w:pPr>
        <w:pStyle w:val="Pregunta"/>
      </w:pPr>
      <w:r>
        <w:rPr>
          <w:rStyle w:val="Númerodepregunta"/>
        </w:rPr>
        <w:t xml:space="preserve">65.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66.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88: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shd w:val="clear" w:color="auto" w:fill="E4E4E4"/>
          </w:tcPr>
          <w:p>
            <w:pPr>
              <w:pStyle w:val="Tabla"/>
            </w:pPr>
            <w:r/>
            <w:r>
              <w:rPr>
                <w:b w:val="0"/>
                <w:i w:val="0"/>
              </w:rPr>
            </w:r>
            <w:r>
              <w:rPr>
                <w:b/>
                <w:i w:val="0"/>
              </w:rPr>
              <w:t>122</w:t>
            </w:r>
            <w:r>
              <w:rPr>
                <w:b w:val="0"/>
                <w:i w:val="0"/>
              </w:rPr>
            </w:r>
          </w:p>
        </w:tc>
        <w:tc>
          <w:tcPr>
            <w:tcW w:type="dxa" w:w="941"/>
            <w:shd w:val="clear" w:color="auto" w:fill="E4E4E4"/>
          </w:tcPr>
          <w:p>
            <w:pPr>
              <w:pStyle w:val="Tabla"/>
            </w:pPr>
            <w:r/>
            <w:r>
              <w:rPr>
                <w:b w:val="0"/>
                <w:i w:val="0"/>
              </w:rPr>
            </w:r>
            <w:r>
              <w:rPr>
                <w:b/>
                <w:i w:val="0"/>
              </w:rPr>
              <w:t>123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59: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