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209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‘Antes de que llegue el olvido’ de Ana Rodríguez Fischer y, finalista, ‘Volver cuándo’ de María Elena Morán.</w:t>
      </w:r>
    </w:p>
    <w:p>
      <w:pPr>
        <w:pStyle w:val="Opción"/>
      </w:pPr>
      <w:r>
        <w:t>c) Ganadora, ‘Los nombres prestados’ de Alexis Ravelo y, finalista, ‘Hasta aquí hemos llegado’ de Antonio Fontana.</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la Unión Europea estableció nuevos aranceles a productos provenientes de China, ¿cuál de estos productos está afectado?</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las condiciones de las actividades agrícolas perjudiciales con el medioambiente.</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Si la información sobre su vida privada se obtiene a través de personas o medios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t xml:space="preserve">Telegrama. </w:t>
      </w:r>
      <w:r>
        <w:rPr>
          <w:b/>
          <w:i w:val="0"/>
        </w:rPr>
        <w:t>Todo sale de la propia carta</w:t>
      </w:r>
      <w:r>
        <w:rPr>
          <w:b w:val="0"/>
          <w:i w:val="0"/>
        </w:rPr>
        <w:t>, que cabe en una página.</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11.1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11.7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