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Consultant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Request Limit: $200K</w:t>
      </w:r>
    </w:p>
    <w:p w:rsidR="00000000" w:rsidDel="00000000" w:rsidP="00000000" w:rsidRDefault="00000000" w:rsidRPr="00000000" w14:paraId="00000004">
      <w:pPr>
        <w:rPr/>
      </w:pPr>
      <w:r w:rsidDel="00000000" w:rsidR="00000000" w:rsidRPr="00000000">
        <w:rPr>
          <w:rtl w:val="0"/>
        </w:rPr>
        <w:t xml:space="preserve">Funding Type: Unrestricted</w:t>
      </w:r>
    </w:p>
    <w:p w:rsidR="00000000" w:rsidDel="00000000" w:rsidP="00000000" w:rsidRDefault="00000000" w:rsidRPr="00000000" w14:paraId="00000005">
      <w:pPr>
        <w:rPr/>
      </w:pPr>
      <w:r w:rsidDel="00000000" w:rsidR="00000000" w:rsidRPr="00000000">
        <w:rPr>
          <w:rtl w:val="0"/>
        </w:rPr>
        <w:t xml:space="preserve">Funding Focus: “</w:t>
      </w:r>
      <w:r w:rsidDel="00000000" w:rsidR="00000000" w:rsidRPr="00000000">
        <w:rPr>
          <w:rtl w:val="0"/>
        </w:rPr>
        <w:t xml:space="preserve">The grants will provide flexible funding to help CDFIs in achieving their broader mission – whether through </w:t>
      </w:r>
      <w:r w:rsidDel="00000000" w:rsidR="00000000" w:rsidRPr="00000000">
        <w:rPr>
          <w:b w:val="1"/>
          <w:rtl w:val="0"/>
        </w:rPr>
        <w:t xml:space="preserve">expanding services, enhancing infrastructure or deepening their community impact</w:t>
      </w:r>
      <w:r w:rsidDel="00000000" w:rsidR="00000000" w:rsidRPr="00000000">
        <w:rPr>
          <w:rtl w:val="0"/>
        </w:rPr>
        <w:t xml:space="preserve"> – ensuring long-term sustainability and continued support for underserved populations.” </w:t>
      </w:r>
      <w:r w:rsidDel="00000000" w:rsidR="00000000" w:rsidRPr="00000000">
        <w:rPr>
          <w:rFonts w:ascii="Roboto" w:cs="Roboto" w:eastAsia="Roboto" w:hAnsi="Roboto"/>
          <w:color w:val="232526"/>
          <w:sz w:val="27"/>
          <w:szCs w:val="27"/>
          <w:highlight w:val="white"/>
          <w:rtl w:val="0"/>
        </w:rPr>
        <w:t xml:space="preserve"> </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Eligibility</w:t>
      </w:r>
      <w:r w:rsidDel="00000000" w:rsidR="00000000" w:rsidRPr="00000000">
        <w:rPr>
          <w:rtl w:val="0"/>
        </w:rPr>
        <w:t xml:space="preserve">: </w:t>
      </w:r>
    </w:p>
    <w:p w:rsidR="00000000" w:rsidDel="00000000" w:rsidP="00000000" w:rsidRDefault="00000000" w:rsidRPr="00000000" w14:paraId="00000008">
      <w:pPr>
        <w:widowControl w:val="0"/>
        <w:shd w:fill="ffffff" w:val="clear"/>
        <w:spacing w:after="0" w:line="240" w:lineRule="auto"/>
        <w:rPr/>
      </w:pPr>
      <w:r w:rsidDel="00000000" w:rsidR="00000000" w:rsidRPr="00000000">
        <w:rPr>
          <w:rtl w:val="0"/>
        </w:rPr>
        <w:t xml:space="preserve">• Be a certified CDFI in good standing. </w:t>
      </w:r>
    </w:p>
    <w:p w:rsidR="00000000" w:rsidDel="00000000" w:rsidP="00000000" w:rsidRDefault="00000000" w:rsidRPr="00000000" w14:paraId="00000009">
      <w:pPr>
        <w:widowControl w:val="0"/>
        <w:shd w:fill="ffffff" w:val="clear"/>
        <w:spacing w:after="0" w:line="240" w:lineRule="auto"/>
        <w:rPr/>
      </w:pPr>
      <w:r w:rsidDel="00000000" w:rsidR="00000000" w:rsidRPr="00000000">
        <w:rPr>
          <w:rtl w:val="0"/>
        </w:rPr>
        <w:t xml:space="preserve">• Operate as a nonprofit or for-profit CDFI headquartered in a KeyBank primary market. </w:t>
      </w:r>
    </w:p>
    <w:p w:rsidR="00000000" w:rsidDel="00000000" w:rsidP="00000000" w:rsidRDefault="00000000" w:rsidRPr="00000000" w14:paraId="0000000A">
      <w:pPr>
        <w:widowControl w:val="0"/>
        <w:shd w:fill="ffffff" w:val="clear"/>
        <w:spacing w:after="0" w:line="240" w:lineRule="auto"/>
        <w:rPr/>
      </w:pPr>
      <w:r w:rsidDel="00000000" w:rsidR="00000000" w:rsidRPr="00000000">
        <w:rPr>
          <w:rtl w:val="0"/>
        </w:rPr>
        <w:t xml:space="preserve">• Have a strong track record of advancing affordable housing and/or small business development, and </w:t>
      </w:r>
    </w:p>
    <w:p w:rsidR="00000000" w:rsidDel="00000000" w:rsidP="00000000" w:rsidRDefault="00000000" w:rsidRPr="00000000" w14:paraId="0000000B">
      <w:pPr>
        <w:widowControl w:val="0"/>
        <w:shd w:fill="ffffff" w:val="clear"/>
        <w:spacing w:after="0" w:line="240" w:lineRule="auto"/>
        <w:rPr/>
      </w:pPr>
      <w:r w:rsidDel="00000000" w:rsidR="00000000" w:rsidRPr="00000000">
        <w:rPr>
          <w:rtl w:val="0"/>
        </w:rPr>
        <w:t xml:space="preserve">• Demonstrate the capacity to effectively manage and deploy grant funds in alignment with the Foundation’s goals. </w:t>
      </w:r>
    </w:p>
    <w:p w:rsidR="00000000" w:rsidDel="00000000" w:rsidP="00000000" w:rsidRDefault="00000000" w:rsidRPr="00000000" w14:paraId="0000000C">
      <w:pPr>
        <w:widowControl w:val="0"/>
        <w:shd w:fill="ffffff" w:val="clear"/>
        <w:spacing w:after="0" w:line="240" w:lineRule="auto"/>
        <w:rPr/>
      </w:pPr>
      <w:r w:rsidDel="00000000" w:rsidR="00000000" w:rsidRPr="00000000">
        <w:rPr>
          <w:rtl w:val="0"/>
        </w:rPr>
      </w:r>
    </w:p>
    <w:p w:rsidR="00000000" w:rsidDel="00000000" w:rsidP="00000000" w:rsidRDefault="00000000" w:rsidRPr="00000000" w14:paraId="0000000D">
      <w:pPr>
        <w:widowControl w:val="0"/>
        <w:shd w:fill="ffffff" w:val="clear"/>
        <w:spacing w:after="0" w:line="240" w:lineRule="auto"/>
        <w:rPr>
          <w:b w:val="1"/>
        </w:rPr>
      </w:pPr>
      <w:r w:rsidDel="00000000" w:rsidR="00000000" w:rsidRPr="00000000">
        <w:rPr>
          <w:b w:val="1"/>
          <w:rtl w:val="0"/>
        </w:rPr>
        <w:t xml:space="preserve">Use of Funds (from Averi): </w:t>
      </w:r>
    </w:p>
    <w:p w:rsidR="00000000" w:rsidDel="00000000" w:rsidP="00000000" w:rsidRDefault="00000000" w:rsidRPr="00000000" w14:paraId="0000000E">
      <w:pPr>
        <w:widowControl w:val="0"/>
        <w:numPr>
          <w:ilvl w:val="0"/>
          <w:numId w:val="3"/>
        </w:numPr>
        <w:shd w:fill="ffffff" w:val="clea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 like to request the max amount to seed a debt consolidation program to get at the challenges explained below. We'd use funding for some loans, but also for access to 2-3 platforms to facilitate loan administration and technical assistance for participants in the program (I'm thinking </w:t>
      </w:r>
      <w:hyperlink r:id="rId6">
        <w:r w:rsidDel="00000000" w:rsidR="00000000" w:rsidRPr="00000000">
          <w:rPr>
            <w:rFonts w:ascii="Calibri" w:cs="Calibri" w:eastAsia="Calibri" w:hAnsi="Calibri"/>
            <w:color w:val="1155cc"/>
            <w:sz w:val="24"/>
            <w:szCs w:val="24"/>
            <w:u w:val="single"/>
            <w:rtl w:val="0"/>
          </w:rPr>
          <w:t xml:space="preserve">NED</w:t>
        </w:r>
      </w:hyperlink>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1155cc"/>
            <w:sz w:val="24"/>
            <w:szCs w:val="24"/>
            <w:u w:val="single"/>
            <w:rtl w:val="0"/>
          </w:rPr>
          <w:t xml:space="preserve">Cyphr AI</w:t>
        </w:r>
      </w:hyperlink>
      <w:r w:rsidDel="00000000" w:rsidR="00000000" w:rsidRPr="00000000">
        <w:rPr>
          <w:rFonts w:ascii="Calibri" w:cs="Calibri" w:eastAsia="Calibri" w:hAnsi="Calibri"/>
          <w:sz w:val="24"/>
          <w:szCs w:val="24"/>
          <w:rtl w:val="0"/>
        </w:rPr>
        <w:t xml:space="preserve">, and </w:t>
      </w:r>
      <w:hyperlink r:id="rId8">
        <w:r w:rsidDel="00000000" w:rsidR="00000000" w:rsidRPr="00000000">
          <w:rPr>
            <w:rFonts w:ascii="Calibri" w:cs="Calibri" w:eastAsia="Calibri" w:hAnsi="Calibri"/>
            <w:color w:val="1155cc"/>
            <w:sz w:val="24"/>
            <w:szCs w:val="24"/>
            <w:u w:val="single"/>
            <w:rtl w:val="0"/>
          </w:rPr>
          <w:t xml:space="preserve">CreditHub</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0F">
      <w:pPr>
        <w:widowControl w:val="0"/>
        <w:shd w:fill="ffffff" w:val="clear"/>
        <w:spacing w:after="0" w:line="240" w:lineRule="auto"/>
        <w:rPr/>
      </w:pPr>
      <w:r w:rsidDel="00000000" w:rsidR="00000000" w:rsidRPr="00000000">
        <w:rPr>
          <w:rtl w:val="0"/>
        </w:rPr>
      </w:r>
    </w:p>
    <w:p w:rsidR="00000000" w:rsidDel="00000000" w:rsidP="00000000" w:rsidRDefault="00000000" w:rsidRPr="00000000" w14:paraId="00000010">
      <w:pPr>
        <w:widowControl w:val="0"/>
        <w:shd w:fill="ffffff" w:val="clear"/>
        <w:spacing w:after="0" w:line="240" w:lineRule="auto"/>
        <w:rPr>
          <w:b w:val="1"/>
        </w:rPr>
      </w:pPr>
      <w:r w:rsidDel="00000000" w:rsidR="00000000" w:rsidRPr="00000000">
        <w:rPr>
          <w:b w:val="1"/>
          <w:rtl w:val="0"/>
        </w:rPr>
        <w:t xml:space="preserve">Positioning language (OSOD): </w:t>
      </w:r>
    </w:p>
    <w:p w:rsidR="00000000" w:rsidDel="00000000" w:rsidP="00000000" w:rsidRDefault="00000000" w:rsidRPr="00000000" w14:paraId="00000011">
      <w:pPr>
        <w:widowControl w:val="0"/>
        <w:numPr>
          <w:ilvl w:val="0"/>
          <w:numId w:val="1"/>
        </w:numPr>
        <w:shd w:fill="ffffff" w:val="clear"/>
        <w:spacing w:after="0" w:line="240" w:lineRule="auto"/>
        <w:ind w:left="720" w:hanging="360"/>
        <w:rPr>
          <w:u w:val="none"/>
        </w:rPr>
      </w:pPr>
      <w:r w:rsidDel="00000000" w:rsidR="00000000" w:rsidRPr="00000000">
        <w:rPr>
          <w:rtl w:val="0"/>
        </w:rPr>
        <w:t xml:space="preserve">We’ll need to include stats about KeyBanks columbus market.</w:t>
      </w:r>
    </w:p>
    <w:p w:rsidR="00000000" w:rsidDel="00000000" w:rsidP="00000000" w:rsidRDefault="00000000" w:rsidRPr="00000000" w14:paraId="00000012">
      <w:pPr>
        <w:widowControl w:val="0"/>
        <w:numPr>
          <w:ilvl w:val="1"/>
          <w:numId w:val="1"/>
        </w:numPr>
        <w:shd w:fill="ffffff" w:val="clear"/>
        <w:spacing w:after="0" w:line="240" w:lineRule="auto"/>
        <w:ind w:left="1440" w:hanging="360"/>
        <w:rPr>
          <w:u w:val="none"/>
        </w:rPr>
      </w:pPr>
      <w:r w:rsidDel="00000000" w:rsidR="00000000" w:rsidRPr="00000000">
        <w:rPr>
          <w:rtl w:val="0"/>
        </w:rPr>
        <w:t xml:space="preserve">Let’s talk about how FEI is helping to create a small business lending ecosystem by assessing small business financing needs in partnership with the Central Ohio African American Chamber of Commerce; </w:t>
      </w:r>
    </w:p>
    <w:p w:rsidR="00000000" w:rsidDel="00000000" w:rsidP="00000000" w:rsidRDefault="00000000" w:rsidRPr="00000000" w14:paraId="00000013">
      <w:pPr>
        <w:widowControl w:val="0"/>
        <w:numPr>
          <w:ilvl w:val="0"/>
          <w:numId w:val="1"/>
        </w:numPr>
        <w:shd w:fill="ffffff" w:val="clear"/>
        <w:spacing w:after="0" w:line="240" w:lineRule="auto"/>
        <w:ind w:left="720" w:hanging="360"/>
        <w:rPr>
          <w:u w:val="none"/>
        </w:rPr>
      </w:pPr>
      <w:r w:rsidDel="00000000" w:rsidR="00000000" w:rsidRPr="00000000">
        <w:rPr>
          <w:rtl w:val="0"/>
        </w:rPr>
        <w:t xml:space="preserve">The impact of business credit on a business. What can they do with credit that they could not have done without it. How low income entrepreneurs don’t have access to business credit which them causes them to put expenses on their person cards which increases their utilization rate which then decreases their credit scores which causes them to be denied the business credit needed to grow. If they are approved it’s at a higher interest rate (pull data on business credit interest rate based on credit score - use increments -create this visual and give it to Averi to use.) Also, they are using the same line of credit to handle personal and business expenses putting a lot of pressure on their finances but also creating bad financial habits of mixing business and personal. Access to affordable capital allows them to separate personal and business expenses which is good business practice; and allows them to reduce the burden that the business is putting on the business owner’s personal line of credit.</w:t>
      </w:r>
    </w:p>
    <w:p w:rsidR="00000000" w:rsidDel="00000000" w:rsidP="00000000" w:rsidRDefault="00000000" w:rsidRPr="00000000" w14:paraId="00000014">
      <w:pPr>
        <w:widowControl w:val="0"/>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15">
      <w:pPr>
        <w:widowControl w:val="0"/>
        <w:shd w:fill="ffffff" w:val="clear"/>
        <w:spacing w:after="0" w:line="240" w:lineRule="auto"/>
        <w:rPr>
          <w:b w:val="1"/>
        </w:rPr>
      </w:pPr>
      <w:r w:rsidDel="00000000" w:rsidR="00000000" w:rsidRPr="00000000">
        <w:rPr>
          <w:b w:val="1"/>
          <w:rtl w:val="0"/>
        </w:rPr>
        <w:t xml:space="preserve">Positioning language (FEI): </w:t>
      </w:r>
    </w:p>
    <w:p w:rsidR="00000000" w:rsidDel="00000000" w:rsidP="00000000" w:rsidRDefault="00000000" w:rsidRPr="00000000" w14:paraId="00000016">
      <w:pPr>
        <w:widowControl w:val="0"/>
        <w:numPr>
          <w:ilvl w:val="0"/>
          <w:numId w:val="2"/>
        </w:numPr>
        <w:shd w:fill="ffffff" w:val="clear"/>
        <w:spacing w:after="0" w:line="240" w:lineRule="auto"/>
        <w:ind w:left="720" w:hanging="360"/>
        <w:rPr>
          <w:u w:val="none"/>
        </w:rPr>
      </w:pPr>
      <w:r w:rsidDel="00000000" w:rsidR="00000000" w:rsidRPr="00000000">
        <w:rPr>
          <w:rFonts w:ascii="Calibri" w:cs="Calibri" w:eastAsia="Calibri" w:hAnsi="Calibri"/>
          <w:sz w:val="24"/>
          <w:szCs w:val="24"/>
          <w:rtl w:val="0"/>
        </w:rPr>
        <w:t xml:space="preserve">The uncertainty and inconsistency in federal policy is making it difficult for small businesses (and their customers) to forecast the economic outlook. People are already tightening their purse strings and eliminating discretionary spending. That hits our businesses extremely hard as many of them are B2C. If their customers don't </w:t>
      </w:r>
      <w:r w:rsidDel="00000000" w:rsidR="00000000" w:rsidRPr="00000000">
        <w:rPr>
          <w:rFonts w:ascii="Calibri" w:cs="Calibri" w:eastAsia="Calibri" w:hAnsi="Calibri"/>
          <w:i w:val="1"/>
          <w:sz w:val="24"/>
          <w:szCs w:val="24"/>
          <w:rtl w:val="0"/>
        </w:rPr>
        <w:t xml:space="preserve">need</w:t>
      </w:r>
      <w:r w:rsidDel="00000000" w:rsidR="00000000" w:rsidRPr="00000000">
        <w:rPr>
          <w:rFonts w:ascii="Calibri" w:cs="Calibri" w:eastAsia="Calibri" w:hAnsi="Calibri"/>
          <w:sz w:val="24"/>
          <w:szCs w:val="24"/>
          <w:rtl w:val="0"/>
        </w:rPr>
        <w:t xml:space="preserve"> their manicures, hair appointments, custom t-shirts, etc. (over-simplification of our industrial presence, but you get what I mean), they will see sales decline. Additionally with the higher costs of components for their items, they are seeing smaller margins already (food service for sure).</w:t>
      </w:r>
    </w:p>
    <w:p w:rsidR="00000000" w:rsidDel="00000000" w:rsidP="00000000" w:rsidRDefault="00000000" w:rsidRPr="00000000" w14:paraId="00000017">
      <w:pPr>
        <w:widowControl w:val="0"/>
        <w:numPr>
          <w:ilvl w:val="0"/>
          <w:numId w:val="2"/>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color w:val="333333"/>
          <w:sz w:val="21"/>
          <w:szCs w:val="21"/>
          <w:rtl w:val="0"/>
        </w:rPr>
        <w:t xml:space="preserve">MCAs can incur extremely high-interest rates, sometimes exceeding 350% APR, which can lead to substantial repayment burdens. The lack of regulatory oversight in the MCA industry often contributes to these high APRs, making them a risky financing option for many businesses.</w:t>
      </w:r>
    </w:p>
    <w:p w:rsidR="00000000" w:rsidDel="00000000" w:rsidP="00000000" w:rsidRDefault="00000000" w:rsidRPr="00000000" w14:paraId="00000018">
      <w:pPr>
        <w:widowControl w:val="0"/>
        <w:numPr>
          <w:ilvl w:val="0"/>
          <w:numId w:val="2"/>
        </w:numPr>
        <w:pBdr>
          <w:bottom w:color="auto" w:space="11" w:sz="0" w:val="none"/>
        </w:pBdr>
        <w:shd w:fill="ffffff" w:val="clear"/>
        <w:spacing w:line="240" w:lineRule="auto"/>
        <w:ind w:left="720" w:hanging="360"/>
        <w:rPr>
          <w:rFonts w:ascii="Calibri" w:cs="Calibri" w:eastAsia="Calibri" w:hAnsi="Calibri"/>
          <w:sz w:val="24"/>
          <w:szCs w:val="24"/>
        </w:rPr>
      </w:pPr>
      <w:r w:rsidDel="00000000" w:rsidR="00000000" w:rsidRPr="00000000">
        <w:rPr>
          <w:color w:val="333333"/>
          <w:sz w:val="21"/>
          <w:szCs w:val="21"/>
          <w:rtl w:val="0"/>
        </w:rPr>
        <w:t xml:space="preserve">The structure of MCA repayments can also strain a business’s </w:t>
      </w:r>
      <w:hyperlink r:id="rId9">
        <w:r w:rsidDel="00000000" w:rsidR="00000000" w:rsidRPr="00000000">
          <w:rPr>
            <w:color w:val="1b3d6e"/>
            <w:sz w:val="21"/>
            <w:szCs w:val="21"/>
            <w:rtl w:val="0"/>
          </w:rPr>
          <w:t xml:space="preserve">cash flow</w:t>
        </w:r>
      </w:hyperlink>
      <w:r w:rsidDel="00000000" w:rsidR="00000000" w:rsidRPr="00000000">
        <w:rPr>
          <w:color w:val="333333"/>
          <w:sz w:val="21"/>
          <w:szCs w:val="21"/>
          <w:rtl w:val="0"/>
        </w:rPr>
        <w:t xml:space="preserve">. Since payments are deducted daily or weekly based on sales, businesses may find it challenging to manage their cash flow effectively, especially during slower periods. This daily repayment requirement can create a significant financial burden that affects day-to-day operations and overall financial stability."</w:t>
      </w:r>
      <w:hyperlink r:id="rId10">
        <w:r w:rsidDel="00000000" w:rsidR="00000000" w:rsidRPr="00000000">
          <w:rPr>
            <w:color w:val="1155cc"/>
            <w:sz w:val="21"/>
            <w:szCs w:val="21"/>
            <w:u w:val="single"/>
            <w:rtl w:val="0"/>
          </w:rPr>
          <w:t xml:space="preserve">https://davisbusinesslaw.com/merchant-cash-advance-fast-funding-for-small-businesses-but-beware-the-legal-perils/</w:t>
        </w:r>
      </w:hyperlink>
      <w:r w:rsidDel="00000000" w:rsidR="00000000" w:rsidRPr="00000000">
        <w:rPr>
          <w:rtl w:val="0"/>
        </w:rPr>
      </w:r>
    </w:p>
    <w:p w:rsidR="00000000" w:rsidDel="00000000" w:rsidP="00000000" w:rsidRDefault="00000000" w:rsidRPr="00000000" w14:paraId="00000019">
      <w:pPr>
        <w:widowControl w:val="0"/>
        <w:shd w:fill="ffffff" w:val="clea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widowControl w:val="0"/>
        <w:shd w:fill="ffffff" w:val="clear"/>
        <w:spacing w:after="0" w:line="240" w:lineRule="auto"/>
        <w:rPr/>
      </w:pPr>
      <w:r w:rsidDel="00000000" w:rsidR="00000000" w:rsidRPr="00000000">
        <w:rPr>
          <w:rtl w:val="0"/>
        </w:rPr>
      </w:r>
    </w:p>
    <w:p w:rsidR="00000000" w:rsidDel="00000000" w:rsidP="00000000" w:rsidRDefault="00000000" w:rsidRPr="00000000" w14:paraId="0000001B">
      <w:pPr>
        <w:widowControl w:val="0"/>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1C">
      <w:pPr>
        <w:widowControl w:val="0"/>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1D">
      <w:pPr>
        <w:widowControl w:val="0"/>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500" w:before="20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1">
      <w:pPr>
        <w:spacing w:after="30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rldefense.proofpoint.com/v2/url?u=https-3A__davisbusinesslaw.com_merchant-2Dcash-2Dadvance-2Dfast-2Dfunding-2Dfor-2Dsmall-2Dbusinesses-2Dbut-2Dbeware-2Dthe-2Dlegal-2Dperils_&amp;d=DwMGaQ&amp;c=euGZstcaTDllvimEN8b7jXrwqOf-v5A_CdpgnVfiiMM&amp;r=XPUs5xrLTJzcVM16WUq0dYlsZmwg0mM3NdyqyRAzrf4&amp;m=PE6ZM8B8SKNqefuSGDHT0OlvuuA3LnIr3YGUW7Xkh-pXduYDda8Qi3oS53CEhMGq&amp;s=AMaXwpCnL_zxqu0wLDfbOwFLtXBSMd8XXiQWaCBJH3c&amp;e=" TargetMode="External"/><Relationship Id="rId9" Type="http://schemas.openxmlformats.org/officeDocument/2006/relationships/hyperlink" Target="https://urldefense.proofpoint.com/v2/url?u=https-3A__davisbusinesslaw.com_hire-2Dan-2Dattorney-2Dto-2Dhelp-2Dwith-2Daccounts-2Dreceivable_&amp;d=DwMGaQ&amp;c=euGZstcaTDllvimEN8b7jXrwqOf-v5A_CdpgnVfiiMM&amp;r=XPUs5xrLTJzcVM16WUq0dYlsZmwg0mM3NdyqyRAzrf4&amp;m=PE6ZM8B8SKNqefuSGDHT0OlvuuA3LnIr3YGUW7Xkh-pXduYDda8Qi3oS53CEhMGq&amp;s=Y3XRHOXul0PvXJmvyUkdSpo9SUbupy54lyvGZxFWFw0&amp;e=" TargetMode="External"/><Relationship Id="rId5" Type="http://schemas.openxmlformats.org/officeDocument/2006/relationships/styles" Target="styles.xml"/><Relationship Id="rId6" Type="http://schemas.openxmlformats.org/officeDocument/2006/relationships/hyperlink" Target="https://urldefense.proofpoint.com/v2/url?u=https-3A__nedhelps.com_&amp;d=DwMGaQ&amp;c=euGZstcaTDllvimEN8b7jXrwqOf-v5A_CdpgnVfiiMM&amp;r=XPUs5xrLTJzcVM16WUq0dYlsZmwg0mM3NdyqyRAzrf4&amp;m=PE6ZM8B8SKNqefuSGDHT0OlvuuA3LnIr3YGUW7Xkh-pXduYDda8Qi3oS53CEhMGq&amp;s=WWhs5vS07FLLHBqjV4xOMKouxM6cR65FpdKwwZGKgrQ&amp;e=" TargetMode="External"/><Relationship Id="rId7" Type="http://schemas.openxmlformats.org/officeDocument/2006/relationships/hyperlink" Target="https://urldefense.proofpoint.com/v2/url?u=https-3A__www.cyphrai.com_&amp;d=DwMGaQ&amp;c=euGZstcaTDllvimEN8b7jXrwqOf-v5A_CdpgnVfiiMM&amp;r=XPUs5xrLTJzcVM16WUq0dYlsZmwg0mM3NdyqyRAzrf4&amp;m=PE6ZM8B8SKNqefuSGDHT0OlvuuA3LnIr3YGUW7Xkh-pXduYDda8Qi3oS53CEhMGq&amp;s=3zxyuRXzPzCwbk9qBWBHpah2hv87ATPH4OUTV4AWrPs&amp;e=" TargetMode="External"/><Relationship Id="rId8" Type="http://schemas.openxmlformats.org/officeDocument/2006/relationships/hyperlink" Target="https://urldefense.proofpoint.com/v2/url?u=https-3A__www.credithubaccess.com_&amp;d=DwMGaQ&amp;c=euGZstcaTDllvimEN8b7jXrwqOf-v5A_CdpgnVfiiMM&amp;r=XPUs5xrLTJzcVM16WUq0dYlsZmwg0mM3NdyqyRAzrf4&amp;m=PE6ZM8B8SKNqefuSGDHT0OlvuuA3LnIr3YGUW7Xkh-pXduYDda8Qi3oS53CEhMGq&amp;s=Dvm674lpooS_jHGiur9is5DQBYFos-25s1T-SuBSgX0&am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