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87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outlineLvl w:val="0"/>
        <w:rPr>
          <w:rFonts w:hint="eastAsia" w:ascii="黑体" w:hAnsi="黑体" w:eastAsia="黑体" w:cs="黑体"/>
          <w:b w:val="0"/>
          <w:bCs/>
          <w:sz w:val="32"/>
          <w:szCs w:val="32"/>
        </w:rPr>
      </w:pPr>
      <w:bookmarkStart w:id="16" w:name="_GoBack"/>
      <w:bookmarkEnd w:id="16"/>
      <w:bookmarkStart w:id="0" w:name="heading_0"/>
      <w:r>
        <w:rPr>
          <w:rFonts w:hint="eastAsia" w:ascii="仿宋" w:hAnsi="仿宋" w:eastAsia="仿宋" w:cs="仿宋"/>
          <w:b w:val="0"/>
          <w:bCs/>
          <w:sz w:val="36"/>
          <w:szCs w:val="36"/>
        </w:rPr>
        <w:t>要素平台三级指挥调度令下发与反馈模块设计方案</w:t>
      </w:r>
      <w:bookmarkEnd w:id="0"/>
      <w:bookmarkStart w:id="1" w:name="heading_1"/>
    </w:p>
    <w:p w14:paraId="2C6DF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>一、建设背景与痛点</w:t>
      </w:r>
      <w:bookmarkEnd w:id="1"/>
    </w:p>
    <w:p w14:paraId="7217D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当前支队、大队、中队三级指挥调度指令流转，完全依托 Excel 表格下发、线上文档报送反馈，无标准化流转链路、无系统留痕、无数据统计能力，存在诸多核心痛点：</w:t>
      </w:r>
    </w:p>
    <w:p w14:paraId="177A9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流转低效：人工制表、转发、汇总，层级传递耗时久，紧急调度指令无法快速触达一线中队；</w:t>
      </w:r>
    </w:p>
    <w:p w14:paraId="2A5CAE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管控空白：无法精准统计下发量、签收量、未签收量、反馈量、逾期未反馈量，人员履职情况无数据支撑；</w:t>
      </w:r>
    </w:p>
    <w:p w14:paraId="27ECE1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3、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纠错缺失：人工派错调度件、下发单位有误时无正规退回流程，只能线下沟通作废，台账混乱；</w:t>
      </w:r>
    </w:p>
    <w:p w14:paraId="7697FF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4、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质量不可控：基层反馈内容格式杂乱、要素缺失、内容不规范，无线上驳回整改机制；</w:t>
      </w:r>
    </w:p>
    <w:p w14:paraId="2906C2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5、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无闭环管理：指令下发、执行、反馈、办结全流程无系统留痕，无法溯源、无法复盘、无法开展月度考核分析。</w:t>
      </w:r>
    </w:p>
    <w:p w14:paraId="668EA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为彻底解决以上问题，依托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日照交管基础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要素平台，搭建三级联动指挥调度令下发反馈模块，实现调度指令一键下发、层级流转、智能签收、规范反馈、错件退回、不合格驳回、全程溯源、自动统计的全闭环数字化管理。</w:t>
      </w:r>
    </w:p>
    <w:p w14:paraId="38B5A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jc w:val="left"/>
        <w:textAlignment w:val="auto"/>
        <w:outlineLvl w:val="1"/>
        <w:rPr>
          <w:rFonts w:hint="eastAsia" w:ascii="黑体" w:hAnsi="黑体" w:eastAsia="黑体" w:cs="黑体"/>
          <w:b w:val="0"/>
          <w:bCs/>
          <w:sz w:val="32"/>
          <w:szCs w:val="32"/>
        </w:rPr>
      </w:pPr>
      <w:bookmarkStart w:id="2" w:name="heading_2"/>
      <w:r>
        <w:rPr>
          <w:rFonts w:hint="eastAsia" w:ascii="黑体" w:hAnsi="黑体" w:eastAsia="黑体" w:cs="黑体"/>
          <w:b w:val="0"/>
          <w:bCs/>
          <w:sz w:val="32"/>
          <w:szCs w:val="32"/>
        </w:rPr>
        <w:t>二、模块整体设计思路</w:t>
      </w:r>
      <w:bookmarkEnd w:id="2"/>
    </w:p>
    <w:p w14:paraId="62D2D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适配支队（一级）— 大队（二级）— 中队（三级） 垂直指挥架构，采用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“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逐级下发、分级负责、双向纠错、自动稽核、数据可视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”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的设计逻辑。</w:t>
      </w:r>
    </w:p>
    <w:p w14:paraId="626BDF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权限分层：支队全局下发、大队中转督办、中队落地执行反馈；</w:t>
      </w:r>
    </w:p>
    <w:p w14:paraId="60DF4D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流程闭环：下发 — 签收 — 执行反馈 — 审核办结，异常工单可退回、可驳回、可整改；</w:t>
      </w:r>
    </w:p>
    <w:p w14:paraId="0091A3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3、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智能管控：系统自动计时预警、自动统计台账、自动生成履职报表；</w:t>
      </w:r>
    </w:p>
    <w:p w14:paraId="7415FB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4、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替代传统：100% 替代表格下发、文件报送模式，所有流程线上留痕、永久存档。</w:t>
      </w:r>
    </w:p>
    <w:p w14:paraId="4937D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jc w:val="left"/>
        <w:textAlignment w:val="auto"/>
        <w:outlineLvl w:val="1"/>
        <w:rPr>
          <w:rFonts w:hint="eastAsia" w:ascii="黑体" w:hAnsi="黑体" w:eastAsia="黑体" w:cs="黑体"/>
          <w:b w:val="0"/>
          <w:bCs/>
          <w:sz w:val="32"/>
          <w:szCs w:val="32"/>
        </w:rPr>
      </w:pPr>
      <w:bookmarkStart w:id="3" w:name="heading_3"/>
      <w:r>
        <w:rPr>
          <w:rFonts w:hint="eastAsia" w:ascii="黑体" w:hAnsi="黑体" w:eastAsia="黑体" w:cs="黑体"/>
          <w:b w:val="0"/>
          <w:bCs/>
          <w:sz w:val="32"/>
          <w:szCs w:val="32"/>
        </w:rPr>
        <w:t>三、核心功能详细设计</w:t>
      </w:r>
      <w:bookmarkEnd w:id="3"/>
    </w:p>
    <w:p w14:paraId="3D546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outlineLvl w:val="2"/>
        <w:rPr>
          <w:rFonts w:hint="eastAsia" w:ascii="仿宋" w:hAnsi="仿宋" w:eastAsia="仿宋" w:cs="仿宋"/>
          <w:b w:val="0"/>
          <w:bCs/>
          <w:sz w:val="32"/>
          <w:szCs w:val="32"/>
        </w:rPr>
      </w:pPr>
      <w:bookmarkStart w:id="4" w:name="heading_4"/>
      <w:r>
        <w:rPr>
          <w:rFonts w:hint="eastAsia" w:ascii="仿宋" w:hAnsi="仿宋" w:eastAsia="仿宋" w:cs="仿宋"/>
          <w:b w:val="0"/>
          <w:bCs/>
          <w:sz w:val="32"/>
          <w:szCs w:val="32"/>
        </w:rPr>
        <w:t>（一）三级派件下发功能</w:t>
      </w:r>
      <w:bookmarkEnd w:id="4"/>
    </w:p>
    <w:p w14:paraId="12F8C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outlineLvl w:val="3"/>
        <w:rPr>
          <w:rFonts w:hint="eastAsia" w:ascii="仿宋" w:hAnsi="仿宋" w:eastAsia="仿宋" w:cs="仿宋"/>
          <w:b w:val="0"/>
          <w:bCs/>
          <w:sz w:val="32"/>
          <w:szCs w:val="32"/>
        </w:rPr>
      </w:pPr>
      <w:bookmarkStart w:id="5" w:name="heading_5"/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下发主体与层级权限</w:t>
      </w:r>
      <w:bookmarkEnd w:id="5"/>
    </w:p>
    <w:p w14:paraId="7448CC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支队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指综大队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：可全域下发至所有大队、指定大队、指定中队；</w:t>
      </w:r>
    </w:p>
    <w:p w14:paraId="1A3DE6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大队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指综中队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：可接收支队指令、转发至本辖区所有 / 指定中队，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也可自行下发指令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至本辖区所有 / 指定中队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，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不可跨辖区下发；</w:t>
      </w:r>
    </w:p>
    <w:p w14:paraId="63DE4E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中队：无下发权限，仅负责签收、执行、反馈。</w:t>
      </w:r>
    </w:p>
    <w:p w14:paraId="68A1A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outlineLvl w:val="3"/>
        <w:rPr>
          <w:rFonts w:hint="eastAsia" w:ascii="仿宋" w:hAnsi="仿宋" w:eastAsia="仿宋" w:cs="仿宋"/>
          <w:b w:val="0"/>
          <w:bCs/>
          <w:sz w:val="32"/>
          <w:szCs w:val="32"/>
        </w:rPr>
      </w:pPr>
      <w:bookmarkStart w:id="6" w:name="heading_6"/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调度令标准化录入模板</w:t>
      </w:r>
      <w:bookmarkEnd w:id="6"/>
    </w:p>
    <w:p w14:paraId="26FB1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系统内置统一调度令模板，必填要素：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添加</w:t>
      </w:r>
      <w:r>
        <w:rPr>
          <w:rFonts w:hint="eastAsia" w:ascii="仿宋" w:hAnsi="仿宋" w:eastAsia="仿宋" w:cs="仿宋"/>
          <w:b w:val="0"/>
          <w:bCs/>
          <w:color w:val="FF0000"/>
          <w:sz w:val="32"/>
          <w:szCs w:val="32"/>
          <w:lang w:eastAsia="zh-CN"/>
        </w:rPr>
        <w:t>调度类别（可自定义类别）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调度主题、紧急等级（普通 / 紧急 / 特急）、</w:t>
      </w:r>
      <w:r>
        <w:rPr>
          <w:rFonts w:hint="eastAsia" w:ascii="仿宋" w:hAnsi="仿宋" w:eastAsia="仿宋" w:cs="仿宋"/>
          <w:b w:val="0"/>
          <w:bCs/>
          <w:color w:val="FF0000"/>
          <w:sz w:val="32"/>
          <w:szCs w:val="32"/>
          <w:lang w:eastAsia="zh-CN"/>
        </w:rPr>
        <w:t>下发范围去掉、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责任单位</w:t>
      </w:r>
      <w:r>
        <w:rPr>
          <w:rFonts w:hint="eastAsia" w:ascii="仿宋" w:hAnsi="仿宋" w:eastAsia="仿宋" w:cs="仿宋"/>
          <w:b w:val="0"/>
          <w:bCs/>
          <w:color w:val="FF0000"/>
          <w:sz w:val="32"/>
          <w:szCs w:val="32"/>
          <w:lang w:eastAsia="zh-CN"/>
        </w:rPr>
        <w:t>需要多选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color w:val="FF0000"/>
          <w:sz w:val="32"/>
          <w:szCs w:val="32"/>
          <w:lang w:eastAsia="zh-CN"/>
        </w:rPr>
        <w:t>支队层面责任单位为大队，大队层面责任单位为中队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、完成时限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color w:val="FF0000"/>
          <w:sz w:val="32"/>
          <w:szCs w:val="32"/>
          <w:lang w:eastAsia="zh-CN"/>
        </w:rPr>
        <w:t>增加</w:t>
      </w:r>
      <w:r>
        <w:rPr>
          <w:rFonts w:hint="eastAsia" w:ascii="仿宋" w:hAnsi="仿宋" w:eastAsia="仿宋" w:cs="仿宋"/>
          <w:b w:val="0"/>
          <w:bCs/>
          <w:color w:val="FF0000"/>
          <w:sz w:val="32"/>
          <w:szCs w:val="32"/>
          <w:lang w:val="en-US" w:eastAsia="zh-CN"/>
        </w:rPr>
        <w:t>7天</w:t>
      </w:r>
      <w:r>
        <w:rPr>
          <w:rFonts w:hint="eastAsia" w:ascii="仿宋" w:hAnsi="仿宋" w:eastAsia="仿宋" w:cs="仿宋"/>
          <w:b w:val="0"/>
          <w:bCs/>
          <w:color w:val="FF000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b w:val="0"/>
          <w:bCs/>
          <w:color w:val="FF0000"/>
          <w:sz w:val="32"/>
          <w:szCs w:val="32"/>
          <w:lang w:val="en-US" w:eastAsia="zh-CN"/>
        </w:rPr>
        <w:t>30天</w:t>
      </w:r>
      <w:r>
        <w:rPr>
          <w:rFonts w:hint="eastAsia" w:ascii="仿宋" w:hAnsi="仿宋" w:eastAsia="仿宋" w:cs="仿宋"/>
          <w:b w:val="0"/>
          <w:bCs/>
          <w:color w:val="FF0000"/>
          <w:sz w:val="32"/>
          <w:szCs w:val="32"/>
          <w:lang w:eastAsia="zh-CN"/>
        </w:rPr>
        <w:t>选项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、调度内容、附件文件、核查要求、反馈要素。杜绝传统表格格式混乱问题。</w:t>
      </w:r>
    </w:p>
    <w:p w14:paraId="5FC59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outlineLvl w:val="3"/>
        <w:rPr>
          <w:rFonts w:hint="eastAsia" w:ascii="仿宋" w:hAnsi="仿宋" w:eastAsia="仿宋" w:cs="仿宋"/>
          <w:b w:val="0"/>
          <w:bCs/>
          <w:sz w:val="32"/>
          <w:szCs w:val="32"/>
        </w:rPr>
      </w:pPr>
      <w:bookmarkStart w:id="7" w:name="heading_7"/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3、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批量 / 定点下发</w:t>
      </w:r>
      <w:bookmarkEnd w:id="7"/>
    </w:p>
    <w:p w14:paraId="104DA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支持单单位下发、多单位批量勾选下发、按辖区整体下发，下发后系统自动生成唯一调度工单编号，作为全流程溯源唯一标识。</w:t>
      </w:r>
    </w:p>
    <w:p w14:paraId="5D66C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outlineLvl w:val="2"/>
        <w:rPr>
          <w:rFonts w:hint="eastAsia" w:ascii="仿宋" w:hAnsi="仿宋" w:eastAsia="仿宋" w:cs="仿宋"/>
          <w:b w:val="0"/>
          <w:bCs/>
          <w:sz w:val="32"/>
          <w:szCs w:val="32"/>
        </w:rPr>
      </w:pPr>
      <w:bookmarkStart w:id="8" w:name="heading_8"/>
      <w:r>
        <w:rPr>
          <w:rFonts w:hint="eastAsia" w:ascii="仿宋" w:hAnsi="仿宋" w:eastAsia="仿宋" w:cs="仿宋"/>
          <w:b w:val="0"/>
          <w:bCs/>
          <w:sz w:val="32"/>
          <w:szCs w:val="32"/>
        </w:rPr>
        <w:t>（二）智能签收与督办功能</w:t>
      </w:r>
      <w:bookmarkEnd w:id="8"/>
    </w:p>
    <w:p w14:paraId="2A9E33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指令下发后，对应大队、中队后台实时弹窗提醒；</w:t>
      </w:r>
    </w:p>
    <w:p w14:paraId="4AE113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接收单位需线上确认签收，系统自动记录签收人、签收时间；</w:t>
      </w:r>
    </w:p>
    <w:p w14:paraId="1780F6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3、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未签收工单系统自动倒计时预警，超时未签收标记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“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逾期未签收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”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，纳入考核；</w:t>
      </w:r>
    </w:p>
    <w:p w14:paraId="1718AB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4、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上级可实时查看下级已签收、未签收、已反馈、未反馈实时状态。</w:t>
      </w:r>
    </w:p>
    <w:p w14:paraId="697EA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outlineLvl w:val="2"/>
        <w:rPr>
          <w:rFonts w:hint="eastAsia" w:ascii="仿宋" w:hAnsi="仿宋" w:eastAsia="仿宋" w:cs="仿宋"/>
          <w:b w:val="0"/>
          <w:bCs/>
          <w:sz w:val="32"/>
          <w:szCs w:val="32"/>
        </w:rPr>
      </w:pPr>
      <w:bookmarkStart w:id="9" w:name="heading_9"/>
      <w:r>
        <w:rPr>
          <w:rFonts w:hint="eastAsia" w:ascii="仿宋" w:hAnsi="仿宋" w:eastAsia="仿宋" w:cs="仿宋"/>
          <w:b w:val="0"/>
          <w:bCs/>
          <w:sz w:val="32"/>
          <w:szCs w:val="32"/>
        </w:rPr>
        <w:t>（三）派错件退回撤销功能（核心纠错功能）</w:t>
      </w:r>
      <w:bookmarkEnd w:id="9"/>
    </w:p>
    <w:p w14:paraId="686B5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解决人工派单失误、下发单位错误、内容录入错误问题：</w:t>
      </w:r>
    </w:p>
    <w:p w14:paraId="7A946C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未签收退回：下发工单后，下级未签收状态下，上级发起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“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错件退回 / 撤销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”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，工单直接作废，系统标记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“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派件错误 - 已撤销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”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，不纳入有效工单统计；</w:t>
      </w:r>
    </w:p>
    <w:p w14:paraId="1A4633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已签收撤回协商：若下级已签收但未反馈，上级可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直接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发起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“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退回修改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”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，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下级也可提起“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退回修改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申请”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备注错派原因，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上级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确认退回后，工单返回初始待下发状态，上级修改内容、更正单位后可重新下发；</w:t>
      </w:r>
    </w:p>
    <w:p w14:paraId="686F44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3、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所有退回、撤销、重发操作全程留痕，记录操作人、操作时间、退回原因，杜绝随意作废工单。</w:t>
      </w:r>
    </w:p>
    <w:p w14:paraId="07E11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outlineLvl w:val="2"/>
        <w:rPr>
          <w:rFonts w:hint="eastAsia" w:ascii="仿宋" w:hAnsi="仿宋" w:eastAsia="仿宋" w:cs="仿宋"/>
          <w:b w:val="0"/>
          <w:bCs/>
          <w:sz w:val="32"/>
          <w:szCs w:val="32"/>
        </w:rPr>
      </w:pPr>
      <w:bookmarkStart w:id="10" w:name="heading_10"/>
      <w:r>
        <w:rPr>
          <w:rFonts w:hint="eastAsia" w:ascii="仿宋" w:hAnsi="仿宋" w:eastAsia="仿宋" w:cs="仿宋"/>
          <w:b w:val="0"/>
          <w:bCs/>
          <w:sz w:val="32"/>
          <w:szCs w:val="32"/>
        </w:rPr>
        <w:t>（四）标准化反馈与不规范驳回功能</w:t>
      </w:r>
      <w:bookmarkEnd w:id="10"/>
    </w:p>
    <w:p w14:paraId="49FC5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实现基层反馈质量可控、统一规范：</w:t>
      </w:r>
    </w:p>
    <w:p w14:paraId="2C6C99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强制模板反馈：中队 / 大队反馈必须按照系统预设模板填写，包含：落实情况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电话通知、属地上门、缉查布控、非现场录入等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、处置细节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（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是否处罚、是否撤控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）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、现场照片、完成进度、存在问题、下一步措施，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依据落实情况必填项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缺项无法提交；</w:t>
      </w:r>
    </w:p>
    <w:p w14:paraId="6B8581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反馈审核机制：下级提交反馈后，由上级调度部门在线审核</w:t>
      </w:r>
    </w:p>
    <w:p w14:paraId="3A2A1B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反馈规范、要素齐全：审核通过，工单办结；</w:t>
      </w:r>
    </w:p>
    <w:p w14:paraId="5F41A3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反馈不规范、内容空洞、缺项漏项、未按要求落实：上级发起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“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驳回整改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”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，填写驳回原因，工单退回待反馈状态；</w:t>
      </w:r>
    </w:p>
    <w:p w14:paraId="27B8A0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3、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限时整改：驳回工单自动重置反馈时限，超期未二次整改标记为履职异常。</w:t>
      </w:r>
    </w:p>
    <w:p w14:paraId="58CCF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outlineLvl w:val="2"/>
        <w:rPr>
          <w:rFonts w:hint="eastAsia" w:ascii="仿宋" w:hAnsi="仿宋" w:eastAsia="仿宋" w:cs="仿宋"/>
          <w:b w:val="0"/>
          <w:bCs/>
          <w:sz w:val="32"/>
          <w:szCs w:val="32"/>
          <w:highlight w:val="yellow"/>
        </w:rPr>
      </w:pPr>
      <w:bookmarkStart w:id="11" w:name="heading_11"/>
      <w:r>
        <w:rPr>
          <w:rFonts w:hint="eastAsia" w:ascii="仿宋" w:hAnsi="仿宋" w:eastAsia="仿宋" w:cs="仿宋"/>
          <w:b w:val="0"/>
          <w:bCs/>
          <w:sz w:val="32"/>
          <w:szCs w:val="32"/>
          <w:highlight w:val="yellow"/>
        </w:rPr>
        <w:t>（五）全流程统计分析功能</w:t>
      </w:r>
      <w:bookmarkEnd w:id="11"/>
    </w:p>
    <w:p w14:paraId="28CAD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系统自动聚合所有调度工单数据，生成台账与可视化报表，完全替代人工表格汇总：</w:t>
      </w:r>
    </w:p>
    <w:p w14:paraId="0D8450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color w:val="FF000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基础统计维度：工单总下发数、各级签收数、未签收数、按时反馈数、逾期反馈数、驳回整改数、错件退回数、办结率；</w:t>
      </w:r>
      <w:r>
        <w:rPr>
          <w:rFonts w:hint="eastAsia" w:ascii="仿宋" w:hAnsi="仿宋" w:eastAsia="仿宋" w:cs="仿宋"/>
          <w:b w:val="0"/>
          <w:bCs/>
          <w:color w:val="FF0000"/>
          <w:sz w:val="32"/>
          <w:szCs w:val="32"/>
          <w:lang w:eastAsia="zh-CN"/>
        </w:rPr>
        <w:t>违法类别查询、查处数、处罚数、处罚率统计；</w:t>
      </w:r>
    </w:p>
    <w:p w14:paraId="1674BD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分级统计：可按支队整体、各大队、各中队单独统计履职数据；</w:t>
      </w:r>
      <w:r>
        <w:rPr>
          <w:rFonts w:hint="eastAsia" w:ascii="仿宋" w:hAnsi="仿宋" w:eastAsia="仿宋" w:cs="仿宋"/>
          <w:b w:val="0"/>
          <w:bCs/>
          <w:color w:val="FF0000"/>
          <w:sz w:val="32"/>
          <w:szCs w:val="32"/>
          <w:lang w:eastAsia="zh-CN"/>
        </w:rPr>
        <w:t>支队账号统计大队数据，点开大队显示中队数据。</w:t>
      </w:r>
    </w:p>
    <w:p w14:paraId="15838B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color w:val="FF0000"/>
          <w:sz w:val="32"/>
          <w:szCs w:val="32"/>
          <w:highlight w:val="yellow"/>
          <w:lang w:eastAsia="zh-CN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3、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时间统计：支持日 / 周 / 月 / 季度 / 年度数据筛选；</w:t>
      </w:r>
      <w:r>
        <w:rPr>
          <w:rFonts w:hint="eastAsia" w:ascii="仿宋" w:hAnsi="仿宋" w:eastAsia="仿宋" w:cs="仿宋"/>
          <w:b w:val="0"/>
          <w:bCs/>
          <w:color w:val="FF0000"/>
          <w:sz w:val="32"/>
          <w:szCs w:val="32"/>
          <w:highlight w:val="none"/>
          <w:lang w:eastAsia="zh-CN"/>
        </w:rPr>
        <w:t>任意时间数据筛选。（违法时间、查询时间等）</w:t>
      </w:r>
    </w:p>
    <w:p w14:paraId="0367B0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4、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考核导出：支持一键导出 Excel 考核台账，直接用于队伍绩效考核、工作复盘；</w:t>
      </w:r>
    </w:p>
    <w:p w14:paraId="234AC5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5、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异常预警：自动高亮标记长期未签收、未反馈、多次驳回、错派工单。</w:t>
      </w:r>
    </w:p>
    <w:p w14:paraId="5EA5E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outlineLvl w:val="2"/>
        <w:rPr>
          <w:rFonts w:hint="eastAsia" w:ascii="仿宋" w:hAnsi="仿宋" w:eastAsia="仿宋" w:cs="仿宋"/>
          <w:b w:val="0"/>
          <w:bCs/>
          <w:sz w:val="32"/>
          <w:szCs w:val="32"/>
        </w:rPr>
      </w:pPr>
      <w:bookmarkStart w:id="12" w:name="heading_12"/>
      <w:r>
        <w:rPr>
          <w:rFonts w:hint="eastAsia" w:ascii="仿宋" w:hAnsi="仿宋" w:eastAsia="仿宋" w:cs="仿宋"/>
          <w:b w:val="0"/>
          <w:bCs/>
          <w:sz w:val="32"/>
          <w:szCs w:val="32"/>
        </w:rPr>
        <w:t>（六）全程溯源留痕功能</w:t>
      </w:r>
      <w:bookmarkEnd w:id="12"/>
    </w:p>
    <w:p w14:paraId="57BDB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每一条调度工单留存完整链路日志：录入人、下发人、下发时间、签收人、签收时间、反馈内容、反馈时间、审核人、驳回记录、退回记录、整改记录，实现事事可溯源、件件可核查。</w:t>
      </w:r>
    </w:p>
    <w:p w14:paraId="47C94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jc w:val="left"/>
        <w:textAlignment w:val="auto"/>
        <w:outlineLvl w:val="1"/>
        <w:rPr>
          <w:rFonts w:hint="eastAsia" w:ascii="黑体" w:hAnsi="黑体" w:eastAsia="黑体" w:cs="黑体"/>
          <w:b w:val="0"/>
          <w:bCs/>
          <w:sz w:val="32"/>
          <w:szCs w:val="32"/>
        </w:rPr>
      </w:pPr>
      <w:bookmarkStart w:id="13" w:name="heading_13"/>
      <w:r>
        <w:rPr>
          <w:rFonts w:hint="eastAsia" w:ascii="黑体" w:hAnsi="黑体" w:eastAsia="黑体" w:cs="黑体"/>
          <w:b w:val="0"/>
          <w:bCs/>
          <w:sz w:val="32"/>
          <w:szCs w:val="32"/>
        </w:rPr>
        <w:t>四、整体业务流转流程</w:t>
      </w:r>
      <w:bookmarkEnd w:id="13"/>
    </w:p>
    <w:p w14:paraId="51A92B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工单创建下发：支队 / 大队管理员录入调度令，选择责任单位，设置时限与等级，正式下发工单；</w:t>
      </w:r>
    </w:p>
    <w:p w14:paraId="4A9624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异常前置判断</w:t>
      </w:r>
    </w:p>
    <w:p w14:paraId="363916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若发现派件错误：未签收可直接撤销 / 退回，修正后重发；</w:t>
      </w:r>
    </w:p>
    <w:p w14:paraId="356B79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无错误则进入签收环节；</w:t>
      </w:r>
    </w:p>
    <w:p w14:paraId="63AFF6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3、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层级签收：大队、中队依次线上签收，系统记录签收时效；</w:t>
      </w:r>
    </w:p>
    <w:p w14:paraId="3775F1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4、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基层落实反馈：责任单位按标准化模板填写落实情况、上传佐证，提交反馈工单；</w:t>
      </w:r>
    </w:p>
    <w:p w14:paraId="7311CB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5、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上级审核校验</w:t>
      </w:r>
    </w:p>
    <w:p w14:paraId="2910AA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反馈不合格、不规范：驳回整改，基层重新编辑提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交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；</w:t>
      </w:r>
    </w:p>
    <w:p w14:paraId="4966C6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</w:rPr>
        <w:t>反馈合格：审核通过；</w:t>
      </w:r>
    </w:p>
    <w:p w14:paraId="44393B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6、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工单办结归档：审核通过后工单自动办结，系统自动归档留存；</w:t>
      </w:r>
    </w:p>
    <w:p w14:paraId="30EC93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7、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系统自动统计：每日 / 每月自动更新各级签收、反馈、驳回、错件、逾期数据，生成考核报表。</w:t>
      </w:r>
    </w:p>
    <w:p w14:paraId="08279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jc w:val="left"/>
        <w:textAlignment w:val="auto"/>
        <w:outlineLvl w:val="1"/>
        <w:rPr>
          <w:rFonts w:hint="eastAsia" w:ascii="黑体" w:hAnsi="黑体" w:eastAsia="黑体" w:cs="黑体"/>
          <w:b w:val="0"/>
          <w:bCs/>
          <w:sz w:val="32"/>
          <w:szCs w:val="32"/>
        </w:rPr>
      </w:pPr>
      <w:bookmarkStart w:id="14" w:name="heading_14"/>
      <w:r>
        <w:rPr>
          <w:rFonts w:hint="eastAsia" w:ascii="黑体" w:hAnsi="黑体" w:eastAsia="黑体" w:cs="黑体"/>
          <w:b w:val="0"/>
          <w:bCs/>
          <w:sz w:val="32"/>
          <w:szCs w:val="32"/>
        </w:rPr>
        <w:t>五、模块建设价值</w:t>
      </w:r>
      <w:bookmarkEnd w:id="14"/>
    </w:p>
    <w:p w14:paraId="015C56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去表格化、去文件化：彻底摒弃人工制表、线下报送、人工汇总的传统模式；</w:t>
      </w:r>
    </w:p>
    <w:p w14:paraId="494040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流程标准化：三级调度指令统一模板、统一流程、统一审核标准；</w:t>
      </w:r>
    </w:p>
    <w:p w14:paraId="6EBC61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3、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纠错规范化：派错可退、反馈差可驳，解决线下无序整改问题；</w:t>
      </w:r>
    </w:p>
    <w:p w14:paraId="1D21C3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4、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考核数据化：所有履职情况系统自动统计，公平透明、有据可依；</w:t>
      </w:r>
    </w:p>
    <w:p w14:paraId="3EEC0F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640" w:firstLineChars="200"/>
        <w:jc w:val="left"/>
        <w:textAlignment w:val="auto"/>
        <w:rPr>
          <w:rFonts w:hint="eastAsia" w:ascii="仿宋" w:hAnsi="仿宋" w:eastAsia="仿宋" w:cs="仿宋"/>
          <w:b w:val="0"/>
          <w:bCs/>
          <w:sz w:val="32"/>
          <w:szCs w:val="32"/>
        </w:rPr>
      </w:pPr>
      <w:r>
        <w:rPr>
          <w:rFonts w:hint="eastAsia" w:ascii="仿宋" w:hAnsi="仿宋" w:eastAsia="仿宋" w:cs="仿宋"/>
          <w:b w:val="0"/>
          <w:bCs/>
          <w:sz w:val="32"/>
          <w:szCs w:val="32"/>
          <w:lang w:val="en-US" w:eastAsia="zh-CN"/>
        </w:rPr>
        <w:t>5、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闭环常态化：实现调度指令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“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下发 - 签收 - 执行 - 反馈 - 审核 - 办结</w:t>
      </w:r>
      <w:r>
        <w:rPr>
          <w:rFonts w:hint="eastAsia" w:ascii="仿宋" w:hAnsi="仿宋" w:eastAsia="仿宋" w:cs="仿宋"/>
          <w:b w:val="0"/>
          <w:bCs/>
          <w:sz w:val="32"/>
          <w:szCs w:val="32"/>
          <w:lang w:eastAsia="zh-CN"/>
        </w:rPr>
        <w:t>”</w:t>
      </w:r>
      <w:r>
        <w:rPr>
          <w:rFonts w:hint="eastAsia" w:ascii="仿宋" w:hAnsi="仿宋" w:eastAsia="仿宋" w:cs="仿宋"/>
          <w:b w:val="0"/>
          <w:bCs/>
          <w:sz w:val="32"/>
          <w:szCs w:val="32"/>
        </w:rPr>
        <w:t>全闭环管理。</w:t>
      </w:r>
    </w:p>
    <w:p w14:paraId="0505C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32"/>
          <w:szCs w:val="32"/>
        </w:rPr>
      </w:pPr>
      <w:bookmarkStart w:id="15" w:name="heading_15"/>
      <w:r>
        <w:rPr>
          <w:rFonts w:hint="eastAsia" w:ascii="黑体" w:hAnsi="黑体" w:eastAsia="黑体" w:cs="黑体"/>
          <w:b w:val="0"/>
          <w:bCs/>
          <w:sz w:val="32"/>
          <w:szCs w:val="32"/>
        </w:rPr>
        <w:t>六、三级指挥调度令业务流程</w:t>
      </w:r>
      <w:r>
        <w:rPr>
          <w:rFonts w:hint="eastAsia" w:ascii="黑体" w:hAnsi="黑体" w:eastAsia="黑体" w:cs="黑体"/>
          <w:b w:val="0"/>
          <w:bCs/>
          <w:sz w:val="32"/>
          <w:szCs w:val="32"/>
          <w:lang w:val="en-US" w:eastAsia="zh-CN"/>
        </w:rPr>
        <w:t>导</w:t>
      </w:r>
      <w:r>
        <w:rPr>
          <w:rFonts w:hint="eastAsia" w:ascii="黑体" w:hAnsi="黑体" w:eastAsia="黑体" w:cs="黑体"/>
          <w:b w:val="0"/>
          <w:bCs/>
          <w:sz w:val="32"/>
          <w:szCs w:val="32"/>
        </w:rPr>
        <w:t>图</w:t>
      </w:r>
      <w:bookmarkEnd w:id="15"/>
    </w:p>
    <w:p w14:paraId="126F5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0"/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drawing>
          <wp:inline distT="0" distB="0" distL="114300" distR="114300">
            <wp:extent cx="5833745" cy="8490585"/>
            <wp:effectExtent l="0" t="0" r="14605" b="5715"/>
            <wp:docPr id="1" name="图片 1" descr="思维导图1785487881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思维导图17854878815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3745" cy="849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950A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6559F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2247D8"/>
    <w:multiLevelType w:val="singleLevel"/>
    <w:tmpl w:val="DF2247D8"/>
    <w:lvl w:ilvl="0" w:tentative="0">
      <w:start w:val="1"/>
      <w:numFmt w:val="decimal"/>
      <w:suff w:val="nothing"/>
      <w:lvlText w:val="%1、"/>
      <w:lvlJc w:val="left"/>
      <w:rPr>
        <w:rFonts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66D2D"/>
    <w:rsid w:val="085A55AD"/>
    <w:rsid w:val="0D6F0171"/>
    <w:rsid w:val="0F752B68"/>
    <w:rsid w:val="15CD7C63"/>
    <w:rsid w:val="1E8B3D5A"/>
    <w:rsid w:val="1FB00909"/>
    <w:rsid w:val="2D306DF2"/>
    <w:rsid w:val="2E870FE2"/>
    <w:rsid w:val="344A2458"/>
    <w:rsid w:val="38430055"/>
    <w:rsid w:val="39297E48"/>
    <w:rsid w:val="40620A2E"/>
    <w:rsid w:val="4252155E"/>
    <w:rsid w:val="500E23E4"/>
    <w:rsid w:val="50D21228"/>
    <w:rsid w:val="559D2106"/>
    <w:rsid w:val="5C627154"/>
    <w:rsid w:val="5D40278C"/>
    <w:rsid w:val="5DE55214"/>
    <w:rsid w:val="601B3A2D"/>
    <w:rsid w:val="644245A9"/>
    <w:rsid w:val="64B302A7"/>
    <w:rsid w:val="6C667E2C"/>
    <w:rsid w:val="714472BF"/>
    <w:rsid w:val="729F531D"/>
    <w:rsid w:val="735B0460"/>
    <w:rsid w:val="79B002F1"/>
    <w:rsid w:val="7A32318A"/>
    <w:rsid w:val="7B9C5382"/>
    <w:rsid w:val="7EEF5D6A"/>
    <w:rsid w:val="DFD902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53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2026-07-31T15:03:00Z</dcterms:created>
  <dc:creator>Apache POI</dc:creator>
  <cp:lastModifiedBy>凌爽</cp:lastModifiedBy>
  <dcterms:modified xsi:type="dcterms:W3CDTF">2026-08-24T10:17:24Z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{"Label":"1","ContentProducer":"001191110102MACQD9K64010000","ProduceID":"7668584228787440922","ReservedCode1":"","ContentPropagator":"","PropagateID":"","ReservedCode2":""}</vt:lpwstr>
  </property>
  <property fmtid="{D5CDD505-2E9C-101B-9397-08002B2CF9AE}" pid="3" name="KSOProductBuildVer">
    <vt:lpwstr>2052-12.1.25895.25895</vt:lpwstr>
  </property>
  <property fmtid="{D5CDD505-2E9C-101B-9397-08002B2CF9AE}" pid="4" name="ICV">
    <vt:lpwstr>DDBEE00606E81C01B4A98B6ACDD0E90D_43</vt:lpwstr>
  </property>
</Properties>
</file>