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14890">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rapid expansion of digital payment platforms in Nepal—driven by services such as eSewa and IME Pay—has significantly increased exposure to financial fraud, yet fraud detection systems have not evolved at a comparable pace. According to Nepal Rastra Bank, mobile banking transactions grew by over 40% year-on-year in 2024, accelerating adoption even in semi-urban and rural areas. Existing approaches remain largely reactive, relying on static rule-based systems or isolated machine learning models that fail to capture the varying risk profiles associated with remittance, POS, and QR-based transactions.</w:t>
      </w:r>
    </w:p>
    <w:p w14:paraId="5C9EEF65">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This paper proposes a lightweight multi-agent fraud detection framework tailored to the constraints of Nepal's digital payment ecosystem. The system consists of five cooperative agents—Velocity, Geo, Behavior (Isolation Forest), Graph-inspired Risk, and Synthesis—each responsible for extracting complementary fraud signals from transaction streams. The central contribution is a context-aware synthesis mechanism that dynamically adjusts agent weight vectors and decision thresholds based on transaction type, enabling adaptive and proportionate responses in real time.</w:t>
      </w:r>
    </w:p>
    <w:p w14:paraId="08615941">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A multi-tier decision structure governs outcomes: transaction approval, single OTP verification, dual OTP authentication, or transaction blocking. The framework incorporates key robustness mechanisms such as cold-start user handling, SIM-swap attack mitigation through adaptive authentication escalation, and explicit false-positive reduction strategies to minimize legitimate transaction disruption.</w:t>
      </w:r>
    </w:p>
    <w:p w14:paraId="35B06331">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Evaluated on a domain-informed synthetic dataset modeled on Nepal's digital payment behavior, the proposed system demonstrates interpretable, low-latency decision-making suitable for integration into existing banking infrastructure. By prioritizing transparency, contextual awareness, and deployability over black-box optimization, the framework offers a practical fraud detection approach aligned with the operational realities of emerging economies.</w:t>
      </w:r>
    </w:p>
    <w:p w14:paraId="1A66492B">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cs="Times New Roman"/>
          <w:sz w:val="24"/>
          <w:szCs w:val="24"/>
        </w:rPr>
        <w:br w:type="textWrapping"/>
      </w:r>
      <w:r>
        <w:rPr>
          <w:rFonts w:hint="default" w:ascii="Times New Roman" w:hAnsi="Times New Roman" w:eastAsia="Segoe UI" w:cs="Times New Roman"/>
          <w:b/>
          <w:bCs/>
          <w:caps w:val="0"/>
          <w:color w:val="0F1115"/>
          <w:spacing w:val="0"/>
          <w:sz w:val="24"/>
          <w:szCs w:val="24"/>
          <w:shd w:val="clear" w:fill="FFFFFF"/>
        </w:rPr>
        <w:t>ntroduction (Final)</w:t>
      </w:r>
    </w:p>
    <w:p w14:paraId="6B4B4930">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digital payments landscape in Nepal has undergone a rapid transformation over the past decade. Mobile wallet platforms such as eSewa and IME Pay now serve millions of active users, while the widespread adoption of QR-based payments—accelerated by Nepal Rastra Bank (NRB) interoperability initiatives—has extended digital transactions into everyday commerce across urban and rural regions. According to Nepal Rastra Bank, mobile banking transactions grew by over 40% year-on-year in 2024, reflecting a structural shift away from cash-based systems toward inclusive digital finance.</w:t>
      </w:r>
    </w:p>
    <w:p w14:paraId="70649683">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However, this rapid expansion has not been matched by equivalent advancements in fraud detection infrastructure. The accessibility of digital payments—enabled by instant onboarding, low-friction transfers, and QR-based simplicity—has simultaneously expanded the attack surface for financial fraud. Common threats in Nepal's ecosystem include velocity-based attacks (rapid sequential transactions), location anomalies (geographically inconsistent activity), SIM-swap fraud (OTP interception via compromised mobile numbers), and exploitation of low-trust or newly created merchant accounts. These risks are further amplified by the heterogeneous nature of transactions, where remittance transfers, POS payments, and QR transactions exhibit fundamentally different behavioral and risk characteristics.</w:t>
      </w:r>
    </w:p>
    <w:p w14:paraId="4DB0670A">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Existing fraud detection systems deployed within Nepali financial institutions typically fall into two categories.</w:t>
      </w:r>
      <w:r>
        <w:rPr>
          <w:rFonts w:hint="default" w:ascii="Times New Roman" w:hAnsi="Times New Roman" w:eastAsia="Segoe UI" w:cs="Times New Roman"/>
          <w:i w:val="0"/>
          <w:iCs w:val="0"/>
          <w:caps w:val="0"/>
          <w:color w:val="0F1115"/>
          <w:spacing w:val="0"/>
          <w:sz w:val="24"/>
          <w:szCs w:val="24"/>
          <w:shd w:val="clear" w:fill="FFFFFF"/>
        </w:rPr>
        <w:t> The first consists of static rule-based engines that apply fixed thresholds for anomaly detection. While interpretable and computationally efficient, these systems are rigid and prone to high false-positive rates when applied uniformly across diverse transaction contexts. The second category consists of isolated machine learning models trained on historical data for anomaly detection or classification. Although more adaptive, these approaches often lack contextual awareness, struggle with cold-start users who have no behavioral history, and operate as opaque black-box systems that are difficult to audit in regulated financial environments.</w:t>
      </w:r>
    </w:p>
    <w:p w14:paraId="7FDE8CE7">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Neither approach adequately captures the layered and context-dependent nature of fraud in heterogeneous digital payment ecosystems.</w:t>
      </w:r>
    </w:p>
    <w:p w14:paraId="4292104C">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To address this gap, this paper proposes a lightweight multi-agent fraud detection framework tailored to the constraints of Nepal's digital payment infrastructure. The system comprises five cooperative agents—Velocity, Geo, Behavior, Graph-inspired Risk, and Synthesis—each responsible for extracting a distinct category of fraud signal from transaction streams. Instead of treating all signals equally, a context-aware synthesis mechanism dynamically adjusts agent weight vectors based on transaction type (remittance, POS, or QR payments), enabling adaptive risk evaluation aligned with the underlying risk profile of each context. Final decisions are executed through a multi-tier OTP interlock system, which provides graduated responses ranging from transaction approval to single or dual OTP verification, and ultimately transaction blocking.</w:t>
      </w:r>
    </w:p>
    <w:p w14:paraId="78E9D424">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framework is designed around three practical constraints often underemphasized in academic fraud detection systems:</w:t>
      </w:r>
    </w:p>
    <w:p w14:paraId="09DDF895">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sz w:val="24"/>
          <w:szCs w:val="24"/>
        </w:rPr>
      </w:pPr>
    </w:p>
    <w:p w14:paraId="1055636E">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Deployability:</w:t>
      </w:r>
      <w:r>
        <w:rPr>
          <w:rFonts w:hint="default" w:ascii="Times New Roman" w:hAnsi="Times New Roman" w:eastAsia="Segoe UI" w:cs="Times New Roman"/>
          <w:i w:val="0"/>
          <w:iCs w:val="0"/>
          <w:caps w:val="0"/>
          <w:color w:val="0F1115"/>
          <w:spacing w:val="0"/>
          <w:sz w:val="24"/>
          <w:szCs w:val="24"/>
          <w:shd w:val="clear" w:fill="FFFFFF"/>
        </w:rPr>
        <w:t> low computational overhead, sub-second decision latency, and compatibility with existing banking infrastructure</w:t>
      </w:r>
    </w:p>
    <w:p w14:paraId="3633FF37">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sz w:val="24"/>
          <w:szCs w:val="24"/>
        </w:rPr>
      </w:pPr>
    </w:p>
    <w:p w14:paraId="0E37B22C">
      <w:pPr>
        <w:keepNext w:val="0"/>
        <w:keepLines w:val="0"/>
        <w:widowControl/>
        <w:numPr>
          <w:ilvl w:val="0"/>
          <w:numId w:val="1"/>
        </w:numPr>
        <w:suppressLineNumbers w:val="0"/>
        <w:spacing w:before="60" w:beforeAutospacing="0" w:after="0" w:afterAutospacing="1"/>
        <w:ind w:left="0" w:hanging="360"/>
        <w:rPr>
          <w:rFonts w:hint="default" w:ascii="Times New Roman" w:hAnsi="Times New Roman" w:cs="Times New Roman"/>
          <w:sz w:val="24"/>
          <w:szCs w:val="24"/>
        </w:rPr>
      </w:pPr>
    </w:p>
    <w:p w14:paraId="469DB2EB">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Interpretability:</w:t>
      </w:r>
      <w:r>
        <w:rPr>
          <w:rFonts w:hint="default" w:ascii="Times New Roman" w:hAnsi="Times New Roman" w:eastAsia="Segoe UI" w:cs="Times New Roman"/>
          <w:i w:val="0"/>
          <w:iCs w:val="0"/>
          <w:caps w:val="0"/>
          <w:color w:val="0F1115"/>
          <w:spacing w:val="0"/>
          <w:sz w:val="24"/>
          <w:szCs w:val="24"/>
          <w:shd w:val="clear" w:fill="FFFFFF"/>
        </w:rPr>
        <w:t> transparent, rule-guided synthesis logic that can be audited and tuned without retraining complex models</w:t>
      </w:r>
    </w:p>
    <w:p w14:paraId="06297D89">
      <w:pPr>
        <w:keepNext w:val="0"/>
        <w:keepLines w:val="0"/>
        <w:widowControl/>
        <w:numPr>
          <w:ilvl w:val="0"/>
          <w:numId w:val="1"/>
        </w:numPr>
        <w:suppressLineNumbers w:val="0"/>
        <w:spacing w:before="60" w:beforeAutospacing="0" w:after="0" w:afterAutospacing="1"/>
        <w:ind w:left="0" w:hanging="360"/>
        <w:rPr>
          <w:rFonts w:hint="default" w:ascii="Times New Roman" w:hAnsi="Times New Roman" w:cs="Times New Roman"/>
          <w:sz w:val="24"/>
          <w:szCs w:val="24"/>
        </w:rPr>
      </w:pPr>
    </w:p>
    <w:p w14:paraId="232FD6D1">
      <w:pPr>
        <w:keepNext w:val="0"/>
        <w:keepLines w:val="0"/>
        <w:widowControl/>
        <w:numPr>
          <w:ilvl w:val="0"/>
          <w:numId w:val="1"/>
        </w:numPr>
        <w:suppressLineNumbers w:val="0"/>
        <w:spacing w:before="60" w:beforeAutospacing="0" w:after="0" w:afterAutospacing="1"/>
        <w:ind w:left="0" w:hanging="360"/>
        <w:rPr>
          <w:rFonts w:hint="default" w:ascii="Times New Roman" w:hAnsi="Times New Roman" w:cs="Times New Roman"/>
          <w:sz w:val="24"/>
          <w:szCs w:val="24"/>
        </w:rPr>
      </w:pPr>
    </w:p>
    <w:p w14:paraId="6E27E333">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Robustness:</w:t>
      </w:r>
      <w:r>
        <w:rPr>
          <w:rFonts w:hint="default" w:ascii="Times New Roman" w:hAnsi="Times New Roman" w:eastAsia="Segoe UI" w:cs="Times New Roman"/>
          <w:i w:val="0"/>
          <w:iCs w:val="0"/>
          <w:caps w:val="0"/>
          <w:color w:val="0F1115"/>
          <w:spacing w:val="0"/>
          <w:sz w:val="24"/>
          <w:szCs w:val="24"/>
          <w:shd w:val="clear" w:fill="FFFFFF"/>
        </w:rPr>
        <w:t> explicit mechanisms for handling cold-start users, mitigating SIM-swap attacks, and minimizing false positives to preserve customer experience</w:t>
      </w:r>
    </w:p>
    <w:p w14:paraId="2FC7D0B8">
      <w:pPr>
        <w:keepNext w:val="0"/>
        <w:keepLines w:val="0"/>
        <w:widowControl/>
        <w:numPr>
          <w:ilvl w:val="0"/>
          <w:numId w:val="1"/>
        </w:numPr>
        <w:suppressLineNumbers w:val="0"/>
        <w:spacing w:before="60" w:beforeAutospacing="0" w:after="0" w:afterAutospacing="1"/>
        <w:ind w:left="0" w:hanging="360"/>
        <w:rPr>
          <w:rFonts w:hint="default" w:ascii="Times New Roman" w:hAnsi="Times New Roman" w:cs="Times New Roman"/>
          <w:sz w:val="24"/>
          <w:szCs w:val="24"/>
        </w:rPr>
      </w:pPr>
    </w:p>
    <w:p w14:paraId="35A3DD58">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remainder of this paper is organized as follows. Section 2 reviews related work in fraud detection and multi-agent systems. Section 3 presents the system architecture and interaction model. Section 4 details the methodology of each agent and the synthesis mechanism. Section 5 discusses robustness strategies. Section 6 outlines the experimental setup and synthetic dataset design. Section 7 presents evaluation results and illustrative scenarios. Section 8 discusses deployment considerations, and Section 9 concludes with future directions.</w:t>
      </w:r>
    </w:p>
    <w:p w14:paraId="7D6E7D15">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2.1 Rule-Based Fraud Detection Systems</w:t>
      </w:r>
    </w:p>
    <w:p w14:paraId="77B9E8F4">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Early fraud detection systems in banking relied predominantly on static rule engines — hand-crafted threshold conditions applied to transaction attributes such as amount, frequency, and geography. While interpretable and computationally inexpensive, these systems suffer from well-documented limitations: they require continuous manual maintenance, fail to generalize across evolving fraud patterns, and produce high false positive rates when applied uniformly across heterogeneous transaction types [1]. In emerging markets, where transaction behavior is highly variable and ground-truth fraud labels are scarce, rule-based systems remain common due to their low infrastructure requirements — but their rigidity makes them increasingly inadequate as digital payment volumes scale.</w:t>
      </w:r>
    </w:p>
    <w:p w14:paraId="146FA41E">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2.2 Machine Learning Approaches to Fraud Detection</w:t>
      </w:r>
    </w:p>
    <w:p w14:paraId="74CE967B">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application of machine learning to fraud detection has been extensively studied. Supervised approaches — including logistic regression, random forests, and gradient boosting — have demonstrated strong performance on labeled datasets such as the IEEE-CIS Fraud Detection benchmark and the PaySim simulation framework [2, 3]. However, supervised methods are fundamentally constrained by the availability of labeled fraud examples, which are rare, expensive to obtain, and often unavailable in nascent digital payment ecosystems.</w:t>
      </w:r>
    </w:p>
    <w:p w14:paraId="3152B9DF">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Unsupervised anomaly detection methods offer a practical alternative. Isolation Forest, introduced by Liu et al. [4], detects anomalies by isolating observations through random partitioning — anomalous transactions, being statistically rare and distinct, require fewer partitions to isolate. Its computational efficiency, resistance to the curse of dimensionality, and suitability for unlabeled data — critical where fraud labels are unavailable or unreliable — make it particularly well-suited for deployment in low-resource environments. Autoencoders and Local Outlier Factor (LOF) have also been explored for transaction anomaly detection [5], though their inference latency and interpretability trade-offs make them less appropriate for real-time banking applications.</w:t>
      </w:r>
    </w:p>
    <w:p w14:paraId="30442687">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A persistent limitation across these approaches is their treatment of all transactions as contextually equivalent — a remittance transfer and a QR micro-payment are evaluated through the same model with the same decision boundary, despite carrying fundamentally different risk semantics.</w:t>
      </w:r>
    </w:p>
    <w:p w14:paraId="128A90A9">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2.3 Multi-Agent Systems in Financial Risk</w:t>
      </w:r>
    </w:p>
    <w:p w14:paraId="7B606900">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Multi-agent architectures have been applied in financial systems for portfolio management, market simulation, and risk assessment [6]. The core advantage of agent decomposition is separation of concerns: each agent specializes in a narrow signal domain, making the overall system more modular, interpretable, and maintainable than a monolithic model. In fraud detection specifically, agent-based approaches have been proposed for credit card fraud [7] and insurance claim analysis, though their adoption in real-time payment systems — particularly in emerging markets — remains limited.</w:t>
      </w:r>
    </w:p>
    <w:p w14:paraId="5D8D5A50">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Prior multi-agent fraud detection frameworks have largely focused on agent communication and consensus rather than context-sensitive signal weighting. Our framework differs fundamentally: the Synthesis Agent does not simply aggregate outputs — it applies transaction-type-specific weight vectors, treating context as a first-class decision variable.</w:t>
      </w:r>
    </w:p>
    <w:p w14:paraId="57BA7276">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2.4 Fraud Detection in Emerging Digital Payment Ecosystems</w:t>
      </w:r>
    </w:p>
    <w:p w14:paraId="44294547">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Research specifically addressing fraud detection in South Asian or similarly structured digital payment ecosystems remains sparse. Most published work assumes data-rich environments with large labeled datasets, mature regulatory frameworks, and reliable device fingerprinting infrastructure — conditions that do not reflect Nepal's current landscape. Closest in spirit are studies on mobile money fraud in Sub-Saharan Africa [8], which similarly highlight the tension between security rigor and user experience in low-infrastructure contexts, and the importance of false positive minimization in markets where customer trust is fragile and churn is high.</w:t>
      </w:r>
    </w:p>
    <w:p w14:paraId="6202DED1">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Our work contributes to this underexplored space by proposing a framework explicitly designed around the constraints of emerging economies: synthetic data compatibility, rule-based interpretability, cold-start resilience, and sub-second latency without GPU dependency.</w:t>
      </w:r>
    </w:p>
    <w:p w14:paraId="0E5A11DE">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2.5 Positioning</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0"/>
        <w:gridCol w:w="1940"/>
        <w:gridCol w:w="1546"/>
        <w:gridCol w:w="1753"/>
        <w:gridCol w:w="1347"/>
      </w:tblGrid>
      <w:tr w14:paraId="390BD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7ACAA243">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Approach</w:t>
            </w:r>
          </w:p>
        </w:tc>
        <w:tc>
          <w:tcPr>
            <w:tcW w:w="0" w:type="auto"/>
            <w:tcBorders>
              <w:top w:val="nil"/>
            </w:tcBorders>
            <w:shd w:val="clear" w:color="auto" w:fill="auto"/>
            <w:tcMar>
              <w:top w:w="100" w:type="dxa"/>
              <w:left w:w="160" w:type="dxa"/>
              <w:bottom w:w="100" w:type="dxa"/>
              <w:right w:w="160" w:type="dxa"/>
            </w:tcMar>
            <w:vAlign w:val="center"/>
          </w:tcPr>
          <w:p w14:paraId="662DCEF8">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Contextual Awareness</w:t>
            </w:r>
          </w:p>
        </w:tc>
        <w:tc>
          <w:tcPr>
            <w:tcW w:w="0" w:type="auto"/>
            <w:tcBorders>
              <w:top w:val="nil"/>
            </w:tcBorders>
            <w:shd w:val="clear" w:color="auto" w:fill="auto"/>
            <w:tcMar>
              <w:top w:w="100" w:type="dxa"/>
              <w:left w:w="160" w:type="dxa"/>
              <w:bottom w:w="100" w:type="dxa"/>
              <w:right w:w="160" w:type="dxa"/>
            </w:tcMar>
            <w:vAlign w:val="center"/>
          </w:tcPr>
          <w:p w14:paraId="35CB01DD">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Interpretable</w:t>
            </w:r>
          </w:p>
        </w:tc>
        <w:tc>
          <w:tcPr>
            <w:tcW w:w="0" w:type="auto"/>
            <w:tcBorders>
              <w:top w:val="nil"/>
            </w:tcBorders>
            <w:shd w:val="clear" w:color="auto" w:fill="auto"/>
            <w:tcMar>
              <w:top w:w="100" w:type="dxa"/>
              <w:left w:w="160" w:type="dxa"/>
              <w:bottom w:w="100" w:type="dxa"/>
              <w:right w:w="160" w:type="dxa"/>
            </w:tcMar>
            <w:vAlign w:val="center"/>
          </w:tcPr>
          <w:p w14:paraId="2DA8165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Cold-Start Handling</w:t>
            </w:r>
          </w:p>
        </w:tc>
        <w:tc>
          <w:tcPr>
            <w:tcW w:w="0" w:type="auto"/>
            <w:tcBorders>
              <w:top w:val="nil"/>
            </w:tcBorders>
            <w:shd w:val="clear" w:color="auto" w:fill="auto"/>
            <w:tcMar>
              <w:top w:w="100" w:type="dxa"/>
              <w:left w:w="160" w:type="dxa"/>
              <w:bottom w:w="100" w:type="dxa"/>
              <w:right w:w="160" w:type="dxa"/>
            </w:tcMar>
            <w:vAlign w:val="center"/>
          </w:tcPr>
          <w:p w14:paraId="33C52EEB">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Low Late</w:t>
            </w:r>
            <w:bookmarkStart w:id="0" w:name="_GoBack"/>
            <w:bookmarkEnd w:id="0"/>
            <w:r>
              <w:rPr>
                <w:rFonts w:hint="default" w:ascii="Times New Roman" w:hAnsi="Times New Roman" w:eastAsia="Segoe UI" w:cs="Times New Roman"/>
                <w:kern w:val="0"/>
                <w:sz w:val="24"/>
                <w:szCs w:val="24"/>
                <w:lang w:val="en-US" w:eastAsia="zh-CN" w:bidi="ar"/>
              </w:rPr>
              <w:t>ncy</w:t>
            </w:r>
          </w:p>
        </w:tc>
      </w:tr>
      <w:tr w14:paraId="3A9C4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20B1238">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Rule-based engines</w:t>
            </w:r>
          </w:p>
        </w:tc>
        <w:tc>
          <w:tcPr>
            <w:tcW w:w="0" w:type="auto"/>
            <w:shd w:val="clear" w:color="auto" w:fill="auto"/>
            <w:tcMar>
              <w:top w:w="100" w:type="dxa"/>
              <w:left w:w="160" w:type="dxa"/>
              <w:bottom w:w="100" w:type="dxa"/>
              <w:right w:w="160" w:type="dxa"/>
            </w:tcMar>
            <w:vAlign w:val="center"/>
          </w:tcPr>
          <w:p w14:paraId="7AA878C5">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w:t>
            </w:r>
          </w:p>
        </w:tc>
        <w:tc>
          <w:tcPr>
            <w:tcW w:w="0" w:type="auto"/>
            <w:shd w:val="clear" w:color="auto" w:fill="auto"/>
            <w:tcMar>
              <w:top w:w="100" w:type="dxa"/>
              <w:left w:w="160" w:type="dxa"/>
              <w:bottom w:w="100" w:type="dxa"/>
              <w:right w:w="160" w:type="dxa"/>
            </w:tcMar>
            <w:vAlign w:val="center"/>
          </w:tcPr>
          <w:p w14:paraId="4745D6B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w:t>
            </w:r>
          </w:p>
        </w:tc>
        <w:tc>
          <w:tcPr>
            <w:tcW w:w="0" w:type="auto"/>
            <w:shd w:val="clear" w:color="auto" w:fill="auto"/>
            <w:tcMar>
              <w:top w:w="100" w:type="dxa"/>
              <w:left w:w="160" w:type="dxa"/>
              <w:bottom w:w="100" w:type="dxa"/>
              <w:right w:w="160" w:type="dxa"/>
            </w:tcMar>
            <w:vAlign w:val="center"/>
          </w:tcPr>
          <w:p w14:paraId="4C1E0044">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w:t>
            </w:r>
          </w:p>
        </w:tc>
        <w:tc>
          <w:tcPr>
            <w:tcW w:w="0" w:type="auto"/>
            <w:shd w:val="clear" w:color="auto" w:fill="auto"/>
            <w:tcMar>
              <w:top w:w="100" w:type="dxa"/>
              <w:left w:w="160" w:type="dxa"/>
              <w:bottom w:w="100" w:type="dxa"/>
              <w:right w:w="0" w:type="dxa"/>
            </w:tcMar>
            <w:vAlign w:val="center"/>
          </w:tcPr>
          <w:p w14:paraId="2A14F222">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w:t>
            </w:r>
          </w:p>
        </w:tc>
      </w:tr>
      <w:tr w14:paraId="3F63D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3220621">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Isolated ML models</w:t>
            </w:r>
          </w:p>
        </w:tc>
        <w:tc>
          <w:tcPr>
            <w:tcW w:w="0" w:type="auto"/>
            <w:shd w:val="clear" w:color="auto" w:fill="auto"/>
            <w:tcMar>
              <w:top w:w="100" w:type="dxa"/>
              <w:left w:w="160" w:type="dxa"/>
              <w:bottom w:w="100" w:type="dxa"/>
              <w:right w:w="160" w:type="dxa"/>
            </w:tcMar>
            <w:vAlign w:val="center"/>
          </w:tcPr>
          <w:p w14:paraId="3F5B10EC">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w:t>
            </w:r>
          </w:p>
        </w:tc>
        <w:tc>
          <w:tcPr>
            <w:tcW w:w="0" w:type="auto"/>
            <w:shd w:val="clear" w:color="auto" w:fill="auto"/>
            <w:tcMar>
              <w:top w:w="100" w:type="dxa"/>
              <w:left w:w="160" w:type="dxa"/>
              <w:bottom w:w="100" w:type="dxa"/>
              <w:right w:w="160" w:type="dxa"/>
            </w:tcMar>
            <w:vAlign w:val="center"/>
          </w:tcPr>
          <w:p w14:paraId="45989537">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w:t>
            </w:r>
          </w:p>
        </w:tc>
        <w:tc>
          <w:tcPr>
            <w:tcW w:w="0" w:type="auto"/>
            <w:shd w:val="clear" w:color="auto" w:fill="auto"/>
            <w:tcMar>
              <w:top w:w="100" w:type="dxa"/>
              <w:left w:w="160" w:type="dxa"/>
              <w:bottom w:w="100" w:type="dxa"/>
              <w:right w:w="160" w:type="dxa"/>
            </w:tcMar>
            <w:vAlign w:val="center"/>
          </w:tcPr>
          <w:p w14:paraId="618EE494">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w:t>
            </w:r>
          </w:p>
        </w:tc>
        <w:tc>
          <w:tcPr>
            <w:tcW w:w="0" w:type="auto"/>
            <w:shd w:val="clear" w:color="auto" w:fill="auto"/>
            <w:tcMar>
              <w:top w:w="100" w:type="dxa"/>
              <w:left w:w="160" w:type="dxa"/>
              <w:bottom w:w="100" w:type="dxa"/>
              <w:right w:w="0" w:type="dxa"/>
            </w:tcMar>
            <w:vAlign w:val="center"/>
          </w:tcPr>
          <w:p w14:paraId="7A743FF8">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w:t>
            </w:r>
          </w:p>
        </w:tc>
      </w:tr>
      <w:tr w14:paraId="19B71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3FEADD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Prior multi-agent systems</w:t>
            </w:r>
          </w:p>
        </w:tc>
        <w:tc>
          <w:tcPr>
            <w:tcW w:w="0" w:type="auto"/>
            <w:shd w:val="clear" w:color="auto" w:fill="auto"/>
            <w:tcMar>
              <w:top w:w="100" w:type="dxa"/>
              <w:left w:w="160" w:type="dxa"/>
              <w:bottom w:w="100" w:type="dxa"/>
              <w:right w:w="160" w:type="dxa"/>
            </w:tcMar>
            <w:vAlign w:val="center"/>
          </w:tcPr>
          <w:p w14:paraId="751B1CB2">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Partial</w:t>
            </w:r>
          </w:p>
        </w:tc>
        <w:tc>
          <w:tcPr>
            <w:tcW w:w="0" w:type="auto"/>
            <w:shd w:val="clear" w:color="auto" w:fill="auto"/>
            <w:tcMar>
              <w:top w:w="100" w:type="dxa"/>
              <w:left w:w="160" w:type="dxa"/>
              <w:bottom w:w="100" w:type="dxa"/>
              <w:right w:w="160" w:type="dxa"/>
            </w:tcMar>
            <w:vAlign w:val="center"/>
          </w:tcPr>
          <w:p w14:paraId="2EF4DB6D">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Partial</w:t>
            </w:r>
          </w:p>
        </w:tc>
        <w:tc>
          <w:tcPr>
            <w:tcW w:w="0" w:type="auto"/>
            <w:shd w:val="clear" w:color="auto" w:fill="auto"/>
            <w:tcMar>
              <w:top w:w="100" w:type="dxa"/>
              <w:left w:w="160" w:type="dxa"/>
              <w:bottom w:w="100" w:type="dxa"/>
              <w:right w:w="160" w:type="dxa"/>
            </w:tcMar>
            <w:vAlign w:val="center"/>
          </w:tcPr>
          <w:p w14:paraId="26F3EAF0">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w:t>
            </w:r>
          </w:p>
        </w:tc>
        <w:tc>
          <w:tcPr>
            <w:tcW w:w="0" w:type="auto"/>
            <w:shd w:val="clear" w:color="auto" w:fill="auto"/>
            <w:tcMar>
              <w:top w:w="100" w:type="dxa"/>
              <w:left w:w="160" w:type="dxa"/>
              <w:bottom w:w="100" w:type="dxa"/>
              <w:right w:w="0" w:type="dxa"/>
            </w:tcMar>
            <w:vAlign w:val="center"/>
          </w:tcPr>
          <w:p w14:paraId="7E08D1DB">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Partial</w:t>
            </w:r>
          </w:p>
        </w:tc>
      </w:tr>
      <w:tr w14:paraId="42091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F8CA541">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lang w:val="en-US" w:eastAsia="zh-CN" w:bidi="ar"/>
              </w:rPr>
              <w:t>This work</w:t>
            </w:r>
          </w:p>
        </w:tc>
        <w:tc>
          <w:tcPr>
            <w:tcW w:w="0" w:type="auto"/>
            <w:shd w:val="clear" w:color="auto" w:fill="auto"/>
            <w:tcMar>
              <w:top w:w="100" w:type="dxa"/>
              <w:left w:w="160" w:type="dxa"/>
              <w:bottom w:w="100" w:type="dxa"/>
              <w:right w:w="160" w:type="dxa"/>
            </w:tcMar>
            <w:vAlign w:val="center"/>
          </w:tcPr>
          <w:p w14:paraId="5E377C2B">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w:t>
            </w:r>
          </w:p>
        </w:tc>
        <w:tc>
          <w:tcPr>
            <w:tcW w:w="0" w:type="auto"/>
            <w:shd w:val="clear" w:color="auto" w:fill="auto"/>
            <w:tcMar>
              <w:top w:w="100" w:type="dxa"/>
              <w:left w:w="160" w:type="dxa"/>
              <w:bottom w:w="100" w:type="dxa"/>
              <w:right w:w="160" w:type="dxa"/>
            </w:tcMar>
            <w:vAlign w:val="center"/>
          </w:tcPr>
          <w:p w14:paraId="2391F633">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w:t>
            </w:r>
          </w:p>
        </w:tc>
        <w:tc>
          <w:tcPr>
            <w:tcW w:w="0" w:type="auto"/>
            <w:shd w:val="clear" w:color="auto" w:fill="auto"/>
            <w:tcMar>
              <w:top w:w="100" w:type="dxa"/>
              <w:left w:w="160" w:type="dxa"/>
              <w:bottom w:w="100" w:type="dxa"/>
              <w:right w:w="160" w:type="dxa"/>
            </w:tcMar>
            <w:vAlign w:val="center"/>
          </w:tcPr>
          <w:p w14:paraId="17B863C3">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w:t>
            </w:r>
          </w:p>
        </w:tc>
        <w:tc>
          <w:tcPr>
            <w:tcW w:w="0" w:type="auto"/>
            <w:shd w:val="clear" w:color="auto" w:fill="auto"/>
            <w:tcMar>
              <w:top w:w="100" w:type="dxa"/>
              <w:left w:w="160" w:type="dxa"/>
              <w:bottom w:w="100" w:type="dxa"/>
              <w:right w:w="0" w:type="dxa"/>
            </w:tcMar>
            <w:vAlign w:val="center"/>
          </w:tcPr>
          <w:p w14:paraId="20B8C44D">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w:t>
            </w:r>
          </w:p>
        </w:tc>
      </w:tr>
    </w:tbl>
    <w:p w14:paraId="48665293">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Table 1:</w:t>
      </w:r>
      <w:r>
        <w:rPr>
          <w:rFonts w:hint="default" w:ascii="Times New Roman" w:hAnsi="Times New Roman" w:eastAsia="Segoe UI" w:cs="Times New Roman"/>
          <w:i w:val="0"/>
          <w:iCs w:val="0"/>
          <w:caps w:val="0"/>
          <w:color w:val="0F1115"/>
          <w:spacing w:val="0"/>
          <w:sz w:val="24"/>
          <w:szCs w:val="24"/>
          <w:shd w:val="clear" w:fill="FFFFFF"/>
        </w:rPr>
        <w:t> Comparison of fraud detection approaches across key deployment criteria.</w:t>
      </w:r>
    </w:p>
    <w:p w14:paraId="5025916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rPr>
        <w:t>3. System Architecture (Rewritten with Improvements)</w:t>
      </w:r>
    </w:p>
    <w:p w14:paraId="5BB8351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3.2 Agent Descriptions</w:t>
      </w:r>
    </w:p>
    <w:p w14:paraId="36F222D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Velocity Agent</w:t>
      </w:r>
    </w:p>
    <w:p w14:paraId="2FB9A88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Monitors transaction frequency over rolling time windows to detect abnormal spikes indicative of account takeover or automated fraud patterns. Output: velocity risk score ∈ [0, 1].</w:t>
      </w:r>
    </w:p>
    <w:p w14:paraId="0CB79D3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025446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Geo Agent</w:t>
      </w:r>
    </w:p>
    <w:p w14:paraId="30E15B3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Evaluates geographic consistency using historical user location patterns and device metadata. Flags include sudden location shifts and device-location mismatches. Output: geo risk score ∈ [0, 1].</w:t>
      </w:r>
    </w:p>
    <w:p w14:paraId="057307A3">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BB0CF2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Behavior Agent</w:t>
      </w:r>
    </w:p>
    <w:p w14:paraId="51D2C31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Applies an Isolation Forest model on behavioral features such as transaction amount, time of day, transaction type, merchant category, and derived frequency metrics to detect deviations from normal user behavior. Output: anomaly score ∈ [0, 1].</w:t>
      </w:r>
    </w:p>
    <w:p w14:paraId="7F7D163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422848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Graph-inspired Risk Agent</w:t>
      </w:r>
    </w:p>
    <w:p w14:paraId="327845D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Approximates merchant-level risk using three signals: (i) novelty of user–merchant interaction, (ii) merchant transaction frequency, and (iii) merchant connectivity based on unique user interactions. Together, these signals provide a lightweight graph-inspired representation of merchant trustworthiness, avoiding the computational overhead of full graph neural networks. Output: merchant risk score ∈ [0, 1].</w:t>
      </w:r>
    </w:p>
    <w:p w14:paraId="025208E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C8FC0E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3.3 OTP Interlock</w:t>
      </w:r>
    </w:p>
    <w:p w14:paraId="19A2223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OTP Interlock converts the composite risk score into one of four graded responses: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95"/>
        <w:gridCol w:w="1187"/>
        <w:gridCol w:w="3681"/>
      </w:tblGrid>
      <w:tr w14:paraId="411F4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10A318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Risk Tier</w:t>
            </w:r>
          </w:p>
        </w:tc>
        <w:tc>
          <w:tcPr>
            <w:tcW w:w="0" w:type="auto"/>
            <w:shd w:val="clear" w:color="auto" w:fill="auto"/>
            <w:vAlign w:val="center"/>
          </w:tcPr>
          <w:p w14:paraId="6E797EF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Action</w:t>
            </w:r>
          </w:p>
        </w:tc>
        <w:tc>
          <w:tcPr>
            <w:tcW w:w="0" w:type="auto"/>
            <w:shd w:val="clear" w:color="auto" w:fill="auto"/>
            <w:vAlign w:val="center"/>
          </w:tcPr>
          <w:p w14:paraId="3A56F45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30607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C634D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shd w:val="clear" w:color="auto" w:fill="auto"/>
            <w:vAlign w:val="center"/>
          </w:tcPr>
          <w:p w14:paraId="711DA2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Approve</w:t>
            </w:r>
          </w:p>
        </w:tc>
        <w:tc>
          <w:tcPr>
            <w:tcW w:w="0" w:type="auto"/>
            <w:shd w:val="clear" w:color="auto" w:fill="auto"/>
            <w:vAlign w:val="center"/>
          </w:tcPr>
          <w:p w14:paraId="4AB547B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Transaction proceeds without friction</w:t>
            </w:r>
          </w:p>
        </w:tc>
      </w:tr>
      <w:tr w14:paraId="018C2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E7AB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4B741E0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Single OTP</w:t>
            </w:r>
          </w:p>
        </w:tc>
        <w:tc>
          <w:tcPr>
            <w:tcW w:w="0" w:type="auto"/>
            <w:shd w:val="clear" w:color="auto" w:fill="auto"/>
            <w:vAlign w:val="center"/>
          </w:tcPr>
          <w:p w14:paraId="5B0789F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Light verification for mild anomalies</w:t>
            </w:r>
          </w:p>
        </w:tc>
      </w:tr>
      <w:tr w14:paraId="1470E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11B1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64FFD9E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Dual OTP</w:t>
            </w:r>
          </w:p>
        </w:tc>
        <w:tc>
          <w:tcPr>
            <w:tcW w:w="0" w:type="auto"/>
            <w:shd w:val="clear" w:color="auto" w:fill="auto"/>
            <w:vAlign w:val="center"/>
          </w:tcPr>
          <w:p w14:paraId="1FB10E2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Strong verification for elevated risk</w:t>
            </w:r>
          </w:p>
        </w:tc>
      </w:tr>
      <w:tr w14:paraId="31272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FC5D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Very High</w:t>
            </w:r>
          </w:p>
        </w:tc>
        <w:tc>
          <w:tcPr>
            <w:tcW w:w="0" w:type="auto"/>
            <w:shd w:val="clear" w:color="auto" w:fill="auto"/>
            <w:vAlign w:val="center"/>
          </w:tcPr>
          <w:p w14:paraId="575193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Block</w:t>
            </w:r>
          </w:p>
        </w:tc>
        <w:tc>
          <w:tcPr>
            <w:tcW w:w="0" w:type="auto"/>
            <w:shd w:val="clear" w:color="auto" w:fill="auto"/>
            <w:vAlign w:val="center"/>
          </w:tcPr>
          <w:p w14:paraId="776A2F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Transaction is halted</w:t>
            </w:r>
          </w:p>
        </w:tc>
      </w:tr>
    </w:tbl>
    <w:p w14:paraId="27C948E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Thresholds are context-dependent rather than globally fixed. High-value remittance transactions trigger earlier escalation, while low-value QR payments tolerate higher risk scores before intervention. This ensures a balance between security and user experience across heterogeneous transaction types.</w:t>
      </w:r>
    </w:p>
    <w:p w14:paraId="6334A8C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17EEFA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3.5 System Flow Summary</w:t>
      </w:r>
    </w:p>
    <w:p w14:paraId="7FCC061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Transaction processing follows a structured pipeline:</w:t>
      </w:r>
    </w:p>
    <w:p w14:paraId="3F6C05B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Transaction received </w:t>
      </w:r>
    </w:p>
    <w:p w14:paraId="5503543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Context classification (remittance / POS / QR) </w:t>
      </w:r>
    </w:p>
    <w:p w14:paraId="64041C8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Parallel execution of five agents </w:t>
      </w:r>
    </w:p>
    <w:p w14:paraId="5C64576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Synthesis Agent applies context-aware weighting </w:t>
      </w:r>
    </w:p>
    <w:p w14:paraId="448E765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OTP Interlock determines final action </w:t>
      </w:r>
    </w:p>
    <w:p w14:paraId="70524BD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A2F422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3.6 Design Rationale</w:t>
      </w:r>
    </w:p>
    <w:p w14:paraId="7F47D4C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Three key architectural decisions underpin the system design:</w:t>
      </w:r>
    </w:p>
    <w:p w14:paraId="6034B2FF">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Full signal aggregation prior to synthesis</w:t>
      </w:r>
      <w:r>
        <w:rPr>
          <w:rFonts w:hint="default" w:ascii="Times New Roman" w:hAnsi="Times New Roman" w:cs="Times New Roman"/>
          <w:sz w:val="24"/>
          <w:szCs w:val="24"/>
        </w:rPr>
        <w:t xml:space="preserve"> ensures that no individual risk signal is prematurely discarded. Even weak individual anomalies can become significant when combined, improving detection robustness through emergent signal interactions.</w:t>
      </w:r>
    </w:p>
    <w:p w14:paraId="2565120A">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Separation of context classification from synthesis</w:t>
      </w:r>
      <w:r>
        <w:rPr>
          <w:rFonts w:hint="default" w:ascii="Times New Roman" w:hAnsi="Times New Roman" w:cs="Times New Roman"/>
          <w:sz w:val="24"/>
          <w:szCs w:val="24"/>
        </w:rPr>
        <w:t xml:space="preserve"> ensures transparency and auditability. The applied weight vector can be explicitly traced for any transaction, enabling regulatory interpretability and post-hoc inspection of decision logic.</w:t>
      </w:r>
    </w:p>
    <w:p w14:paraId="257B007B">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Graph-inspired approximation over full GNN models</w:t>
      </w:r>
      <w:r>
        <w:rPr>
          <w:rFonts w:hint="default" w:ascii="Times New Roman" w:hAnsi="Times New Roman" w:cs="Times New Roman"/>
          <w:sz w:val="24"/>
          <w:szCs w:val="24"/>
        </w:rPr>
        <w:t xml:space="preserve"> avoids the computational and infrastructural overhead of graph neural networks while preserving essential relational signals such as merchant rarity and interaction sparsity. This trade-off enables sub-second inference suitable for low-resource financial environments.</w:t>
      </w:r>
    </w:p>
    <w:p w14:paraId="11C183E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 Not Yet.</w:t>
      </w:r>
    </w:p>
    <w:p w14:paraId="15A3D6A2">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What I gave you are the </w:t>
      </w:r>
      <w:r>
        <w:rPr>
          <w:rStyle w:val="10"/>
          <w:rFonts w:hint="default" w:ascii="Times New Roman" w:hAnsi="Times New Roman" w:cs="Times New Roman"/>
          <w:sz w:val="24"/>
          <w:szCs w:val="24"/>
        </w:rPr>
        <w:t>four corrected subsections only</w:t>
      </w:r>
      <w:r>
        <w:rPr>
          <w:rFonts w:hint="default" w:ascii="Times New Roman" w:hAnsi="Times New Roman" w:cs="Times New Roman"/>
          <w:sz w:val="24"/>
          <w:szCs w:val="24"/>
        </w:rPr>
        <w:t xml:space="preserve"> (4.1, 4.4, 4.5, 4.6). The full Section 4 also includes:</w:t>
      </w:r>
    </w:p>
    <w:p w14:paraId="2A5FB3B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4.2 Geo Agent</w:t>
      </w:r>
      <w:r>
        <w:rPr>
          <w:rFonts w:hint="default" w:ascii="Times New Roman" w:hAnsi="Times New Roman" w:cs="Times New Roman"/>
          <w:sz w:val="24"/>
          <w:szCs w:val="24"/>
        </w:rPr>
        <w:t xml:space="preserve"> — unchanged from the original draft</w:t>
      </w:r>
    </w:p>
    <w:p w14:paraId="753F53E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4.3 Behavior Agent</w:t>
      </w:r>
      <w:r>
        <w:rPr>
          <w:rFonts w:hint="default" w:ascii="Times New Roman" w:hAnsi="Times New Roman" w:cs="Times New Roman"/>
          <w:sz w:val="24"/>
          <w:szCs w:val="24"/>
        </w:rPr>
        <w:t xml:space="preserve"> — unchanged from the original draft</w:t>
      </w:r>
    </w:p>
    <w:p w14:paraId="639126AD">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Those two were not touched because your four correction points didn't affect them.</w:t>
      </w:r>
    </w:p>
    <w:p w14:paraId="100ECF0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C5B326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Here is the Complete Section 4 — All Subsections Together</w:t>
      </w:r>
    </w:p>
    <w:p w14:paraId="1B4507C3">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ED9DAC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Methodology</w:t>
      </w:r>
    </w:p>
    <w:p w14:paraId="21B40500">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section details the internal logic of each agent and the synthesis mechanism that combines their outputs into a final risk decision.</w:t>
      </w:r>
    </w:p>
    <w:p w14:paraId="688847EA">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CC654A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4.1 Velocity Agent</w:t>
      </w:r>
    </w:p>
    <w:p w14:paraId="7EAFC32E">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Velocity Agent monitors transaction frequency over three fixed rolling time windows, each targeting a distinct class of fraud behavior:</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
        <w:gridCol w:w="994"/>
        <w:gridCol w:w="5060"/>
      </w:tblGrid>
      <w:tr w14:paraId="3EBAF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6F853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Window</w:t>
            </w:r>
          </w:p>
        </w:tc>
        <w:tc>
          <w:tcPr>
            <w:tcW w:w="0" w:type="auto"/>
            <w:shd w:val="clear" w:color="auto" w:fill="auto"/>
            <w:vAlign w:val="center"/>
          </w:tcPr>
          <w:p w14:paraId="775ED43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Duration</w:t>
            </w:r>
          </w:p>
        </w:tc>
        <w:tc>
          <w:tcPr>
            <w:tcW w:w="0" w:type="auto"/>
            <w:shd w:val="clear" w:color="auto" w:fill="auto"/>
            <w:vAlign w:val="center"/>
          </w:tcPr>
          <w:p w14:paraId="3FC0633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Purpose</w:t>
            </w:r>
          </w:p>
        </w:tc>
      </w:tr>
      <w:tr w14:paraId="011C7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D711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Short</w:t>
            </w:r>
          </w:p>
        </w:tc>
        <w:tc>
          <w:tcPr>
            <w:tcW w:w="0" w:type="auto"/>
            <w:shd w:val="clear" w:color="auto" w:fill="auto"/>
            <w:vAlign w:val="center"/>
          </w:tcPr>
          <w:p w14:paraId="51F8932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minute</w:t>
            </w:r>
          </w:p>
        </w:tc>
        <w:tc>
          <w:tcPr>
            <w:tcW w:w="0" w:type="auto"/>
            <w:shd w:val="clear" w:color="auto" w:fill="auto"/>
            <w:vAlign w:val="center"/>
          </w:tcPr>
          <w:p w14:paraId="1399C35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Detects burst attacks and rapid-fire automated fraud</w:t>
            </w:r>
          </w:p>
        </w:tc>
      </w:tr>
      <w:tr w14:paraId="486D6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58A58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6C2E48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hour</w:t>
            </w:r>
          </w:p>
        </w:tc>
        <w:tc>
          <w:tcPr>
            <w:tcW w:w="0" w:type="auto"/>
            <w:shd w:val="clear" w:color="auto" w:fill="auto"/>
            <w:vAlign w:val="center"/>
          </w:tcPr>
          <w:p w14:paraId="1FCDF80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Captures moderate velocity anomalies</w:t>
            </w:r>
          </w:p>
        </w:tc>
      </w:tr>
      <w:tr w14:paraId="5C0B7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E962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Long</w:t>
            </w:r>
          </w:p>
        </w:tc>
        <w:tc>
          <w:tcPr>
            <w:tcW w:w="0" w:type="auto"/>
            <w:shd w:val="clear" w:color="auto" w:fill="auto"/>
            <w:vAlign w:val="center"/>
          </w:tcPr>
          <w:p w14:paraId="5286686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24 hours</w:t>
            </w:r>
          </w:p>
        </w:tc>
        <w:tc>
          <w:tcPr>
            <w:tcW w:w="0" w:type="auto"/>
            <w:shd w:val="clear" w:color="auto" w:fill="auto"/>
            <w:vAlign w:val="center"/>
          </w:tcPr>
          <w:p w14:paraId="0F1B0E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Identifies daily volume abuse patterns</w:t>
            </w:r>
          </w:p>
        </w:tc>
      </w:tr>
    </w:tbl>
    <w:p w14:paraId="15299F0C">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Each window maintains an independent transaction count for the user. When the count exceeds the predefined threshold for that window, a binary flag is raised. The velocity risk score is computed as a weighted sum of individual window violations, augmented by an interaction term that amplifies the score when multiple windows are violated simultaneously:</w:t>
      </w:r>
    </w:p>
    <w:p w14:paraId="25AD42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Svelocity=min⁡(1, vs⋅fs+vm⋅fm+vl⋅fl+λ⋅fs⋅fm⋅fl)S_{velocity} = \min\left(1,\ v_s \cdot f_s + v_m \cdot f_m + v_l \cdot f_l + \lambda \cdot f_s \cdot f_m \cdot f_l\right)Svelocity​=min(1, vs​⋅fs​+vm​⋅fm​+vl​⋅fl​+λ⋅fs​⋅fm​⋅fl​) </w:t>
      </w:r>
    </w:p>
    <w:p w14:paraId="737E304B">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where fs,fm,fl∈{0,1}f_s, f_m, f_l \in \{0,1\} fs​,fm​,fl​∈{0,1} are binary violation flags for the short, medium, and long windows respectively; vs,vm,vlv_s, v_m, v_l vs​,vm​,vl​ are their associated severity weights; λ\lambda λ is an amplification constant active only when all three flags are simultaneously raised; and min⁡(1,⋅)\min(1, \cdot) min(1,⋅) caps the score within [0,1][0, 1] [0,1].</w:t>
      </w:r>
    </w:p>
    <w:p w14:paraId="2F2EB2F6">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base computation is additive — each violated window contributes independently. The interaction term λ⋅fs⋅fm⋅fl\lambda \cdot f_s \cdot f_m \cdot f_l λ⋅fs​⋅fm​⋅fl​ activates only under simultaneous multi-window violation, producing a score disproportionately higher than any single violation alone.</w:t>
      </w:r>
    </w:p>
    <w:p w14:paraId="233AAC01">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Intuition:</w:t>
      </w:r>
      <w:r>
        <w:rPr>
          <w:rFonts w:hint="default" w:ascii="Times New Roman" w:hAnsi="Times New Roman" w:cs="Times New Roman"/>
          <w:sz w:val="24"/>
          <w:szCs w:val="24"/>
        </w:rPr>
        <w:t xml:space="preserve"> A user triggering only the short window may represent a brief legitimate spike — for example, splitting a group bill. A user simultaneously violating all three windows is almost certainly engaged in systematic abuse. The interaction term captures this qualitative difference without discarding the independent signal value of each window.</w:t>
      </w:r>
    </w:p>
    <w:p w14:paraId="50ACD1E2">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2D4147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4.2 Geo Agent</w:t>
      </w:r>
    </w:p>
    <w:p w14:paraId="1A56F34D">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Geo Agent evaluates the geographic plausibility of each transaction by comparing current transaction metadata against the user's established location history. Two primary signals are assessed:</w:t>
      </w:r>
    </w:p>
    <w:p w14:paraId="10C6FBB5">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Location Consistency Score:</w:t>
      </w:r>
      <w:r>
        <w:rPr>
          <w:rFonts w:hint="default" w:ascii="Times New Roman" w:hAnsi="Times New Roman" w:cs="Times New Roman"/>
          <w:sz w:val="24"/>
          <w:szCs w:val="24"/>
        </w:rPr>
        <w:t xml:space="preserve"> Measures the geographic distance between the current transaction origin and the user's most recent known locations. Large deviations — particularly those physically implausible given the time elapsed since the last transaction — receive high risk scores.</w:t>
      </w:r>
    </w:p>
    <w:p w14:paraId="3F50A7E4">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Device-Location Mismatch Flag:</w:t>
      </w:r>
      <w:r>
        <w:rPr>
          <w:rFonts w:hint="default" w:ascii="Times New Roman" w:hAnsi="Times New Roman" w:cs="Times New Roman"/>
          <w:sz w:val="24"/>
          <w:szCs w:val="24"/>
        </w:rPr>
        <w:t xml:space="preserve"> Detects inconsistencies between the device fingerprint associated with the transaction and the expected device for that location profile. A transaction from a known device in an unexpected location, or from an unknown device in a known location, each contribute independently to the geo risk score.</w:t>
      </w:r>
    </w:p>
    <w:p w14:paraId="3739A266">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combined geo risk score is:</w:t>
      </w:r>
    </w:p>
    <w:p w14:paraId="75D030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Sgeo=α⋅δlocation+(1−α)⋅δdeviceS_{geo} = \alpha \cdot \delta_{location} + (1 - \alpha) \cdot \delta_{device}Sgeo​=α⋅δlocation​+(1−α)⋅δdevice​ </w:t>
      </w:r>
    </w:p>
    <w:p w14:paraId="6513DDB1">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where δlocation∈[0,1]\delta_{location} \in [0,1] δlocation​∈[0,1] is the normalized location deviation score, δdevice∈{0,1}\delta_{device} \in \{0, 1\} δdevice​∈{0,1} is the device mismatch binary flag, and α\alpha α is a tunable parameter balancing the two signals (default α=0.6\alpha = 0.6 α=0.6).</w:t>
      </w:r>
    </w:p>
    <w:p w14:paraId="4D074E72">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Intuition:</w:t>
      </w:r>
      <w:r>
        <w:rPr>
          <w:rFonts w:hint="default" w:ascii="Times New Roman" w:hAnsi="Times New Roman" w:cs="Times New Roman"/>
          <w:sz w:val="24"/>
          <w:szCs w:val="24"/>
        </w:rPr>
        <w:t xml:space="preserve"> In Nepal's context, a remittance transaction suddenly originating from a different district — or worse, a different country — without any prior travel history is a strong fraud indicator. The Geo Agent is specifically sensitive to this pattern.</w:t>
      </w:r>
    </w:p>
    <w:p w14:paraId="66F942B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2C58B9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4.3 Behavior Agent</w:t>
      </w:r>
    </w:p>
    <w:p w14:paraId="10DF101F">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Behavior Agent applies an </w:t>
      </w:r>
      <w:r>
        <w:rPr>
          <w:rStyle w:val="10"/>
          <w:rFonts w:hint="default" w:ascii="Times New Roman" w:hAnsi="Times New Roman" w:cs="Times New Roman"/>
          <w:sz w:val="24"/>
          <w:szCs w:val="24"/>
        </w:rPr>
        <w:t>Isolation Forest</w:t>
      </w:r>
      <w:r>
        <w:rPr>
          <w:rFonts w:hint="default" w:ascii="Times New Roman" w:hAnsi="Times New Roman" w:cs="Times New Roman"/>
          <w:sz w:val="24"/>
          <w:szCs w:val="24"/>
        </w:rPr>
        <w:t xml:space="preserve"> model to detect statistical deviations from a user's established behavioral profile. Isolation Forest operates by randomly partitioning the feature space through a series of decision trees — anomalous observations, being rare and distinct, are isolated in fewer partitions and receive higher anomaly scores.</w:t>
      </w:r>
    </w:p>
    <w:p w14:paraId="5B51AF2D">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Feature Set: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28"/>
        <w:gridCol w:w="3807"/>
      </w:tblGrid>
      <w:tr w14:paraId="74C20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CF498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Feature</w:t>
            </w:r>
          </w:p>
        </w:tc>
        <w:tc>
          <w:tcPr>
            <w:tcW w:w="0" w:type="auto"/>
            <w:shd w:val="clear" w:color="auto" w:fill="auto"/>
            <w:vAlign w:val="center"/>
          </w:tcPr>
          <w:p w14:paraId="5EEAB1D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0F137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F936C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Transaction amount</w:t>
            </w:r>
          </w:p>
        </w:tc>
        <w:tc>
          <w:tcPr>
            <w:tcW w:w="0" w:type="auto"/>
            <w:shd w:val="clear" w:color="auto" w:fill="auto"/>
            <w:vAlign w:val="center"/>
          </w:tcPr>
          <w:p w14:paraId="0491AC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Absolute value of the transaction</w:t>
            </w:r>
          </w:p>
        </w:tc>
      </w:tr>
      <w:tr w14:paraId="458E0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DC9C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Hour of day</w:t>
            </w:r>
          </w:p>
        </w:tc>
        <w:tc>
          <w:tcPr>
            <w:tcW w:w="0" w:type="auto"/>
            <w:shd w:val="clear" w:color="auto" w:fill="auto"/>
            <w:vAlign w:val="center"/>
          </w:tcPr>
          <w:p w14:paraId="765B633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Time-of-day encoding (0–23)</w:t>
            </w:r>
          </w:p>
        </w:tc>
      </w:tr>
      <w:tr w14:paraId="365A2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167EE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Transaction type</w:t>
            </w:r>
          </w:p>
        </w:tc>
        <w:tc>
          <w:tcPr>
            <w:tcW w:w="0" w:type="auto"/>
            <w:shd w:val="clear" w:color="auto" w:fill="auto"/>
            <w:vAlign w:val="center"/>
          </w:tcPr>
          <w:p w14:paraId="7667679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Categorical: remittance, POS, QR</w:t>
            </w:r>
          </w:p>
        </w:tc>
      </w:tr>
      <w:tr w14:paraId="46C64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FE65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Merchant category</w:t>
            </w:r>
          </w:p>
        </w:tc>
        <w:tc>
          <w:tcPr>
            <w:tcW w:w="0" w:type="auto"/>
            <w:shd w:val="clear" w:color="auto" w:fill="auto"/>
            <w:vAlign w:val="center"/>
          </w:tcPr>
          <w:p w14:paraId="2457F1C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Categorical: retail, utility, transfer, etc.</w:t>
            </w:r>
          </w:p>
        </w:tc>
      </w:tr>
      <w:tr w14:paraId="39504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D6563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Frequency (short window)</w:t>
            </w:r>
          </w:p>
        </w:tc>
        <w:tc>
          <w:tcPr>
            <w:tcW w:w="0" w:type="auto"/>
            <w:shd w:val="clear" w:color="auto" w:fill="auto"/>
            <w:vAlign w:val="center"/>
          </w:tcPr>
          <w:p w14:paraId="71784E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Transaction count in last 1 minute</w:t>
            </w:r>
          </w:p>
        </w:tc>
      </w:tr>
      <w:tr w14:paraId="7A1FB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E628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Frequency (medium window)</w:t>
            </w:r>
          </w:p>
        </w:tc>
        <w:tc>
          <w:tcPr>
            <w:tcW w:w="0" w:type="auto"/>
            <w:shd w:val="clear" w:color="auto" w:fill="auto"/>
            <w:vAlign w:val="center"/>
          </w:tcPr>
          <w:p w14:paraId="473934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Transaction count in last 1 hour</w:t>
            </w:r>
          </w:p>
        </w:tc>
      </w:tr>
    </w:tbl>
    <w:p w14:paraId="2EB29BD5">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model is trained per-user on historical transaction records to establish a personalized behavioral baseline. At inference time, the anomaly score produced by Isolation Forest is normalized to [0,1][0, 1] [0,1], where higher values indicate greater deviation from normal behavior.</w:t>
      </w:r>
    </w:p>
    <w:p w14:paraId="0E4AE5E5">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Model configuration:</w:t>
      </w:r>
      <w:r>
        <w:rPr>
          <w:rFonts w:hint="default" w:ascii="Times New Roman" w:hAnsi="Times New Roman" w:cs="Times New Roman"/>
          <w:sz w:val="24"/>
          <w:szCs w:val="24"/>
        </w:rPr>
        <w:t xml:space="preserve"> Baseline Isolation Forest with default contamination parameter, intentionally kept simple to preserve low inference latency and avoid overfitting on limited synthetic data.</w:t>
      </w:r>
    </w:p>
    <w:p w14:paraId="3DE6EB4B">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Intuition:</w:t>
      </w:r>
      <w:r>
        <w:rPr>
          <w:rFonts w:hint="default" w:ascii="Times New Roman" w:hAnsi="Times New Roman" w:cs="Times New Roman"/>
          <w:sz w:val="24"/>
          <w:szCs w:val="24"/>
        </w:rPr>
        <w:t xml:space="preserve"> If a user who consistently transacts small amounts at local merchants at midday suddenly initiates a large transfer to an unfamiliar merchant category at 3 AM, the Behavior Agent will flag this as anomalous — even if the velocity and geo signals appear normal.</w:t>
      </w:r>
    </w:p>
    <w:p w14:paraId="7D704E4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8628A1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4.4 Graph-inspired Risk Agent</w:t>
      </w:r>
    </w:p>
    <w:p w14:paraId="2E53F265">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Graph-inspired Risk Agent estimates merchant-level trustworthiness using three lightweight signals that approximate the relational structure of a graph without requiring persistent graph storage or retraining cycles.</w:t>
      </w:r>
    </w:p>
    <w:p w14:paraId="71678529">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Let Sgraph∈[0,1]S_{graph} \in [0,1] Sgraph​∈[0,1] denote the final merchant risk score, computed as the unweighted mean of three normalized component signals:</w:t>
      </w:r>
    </w:p>
    <w:p w14:paraId="5C4938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Sgraph=N+F+C3S_{graph} = \frac{N + F + C}{3}Sgraph​=3N+F+C​ </w:t>
      </w:r>
    </w:p>
    <w:p w14:paraId="2B168CF2">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Signal 1 — Interaction Novelty (</w:t>
      </w:r>
      <w:r>
        <w:rPr>
          <w:rFonts w:hint="default" w:ascii="Times New Roman" w:hAnsi="Times New Roman" w:cs="Times New Roman"/>
          <w:sz w:val="24"/>
          <w:szCs w:val="24"/>
        </w:rPr>
        <w:t>NN N</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Captures whether the current user has previously transacted with this merchant. Trust accumulates with repeated interactions via exponential decay:</w:t>
      </w:r>
    </w:p>
    <w:p w14:paraId="191CA00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N={1.0if c=0 (first-time interaction)e−k⋅cif c&gt;0N = \begin{cases} 1.0 &amp; \text{if } c = 0 \text{ (first-time interaction)} \\ e^{-k \cdot c} &amp; \text{if } c &gt; 0 \end{cases}N={1.0e−k⋅c​if c=0 (first-time interaction)if c&gt;0​ </w:t>
      </w:r>
    </w:p>
    <w:p w14:paraId="35465AC3">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where cc c is the count of prior user–merchant interactions and k&gt;0k &gt; 0 k&gt;0 is a decay constant controlling the rate of trust accumulation.</w:t>
      </w:r>
    </w:p>
    <w:p w14:paraId="23F2208E">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Signal 2 — Merchant Frequency (</w:t>
      </w:r>
      <w:r>
        <w:rPr>
          <w:rFonts w:hint="default" w:ascii="Times New Roman" w:hAnsi="Times New Roman" w:cs="Times New Roman"/>
          <w:sz w:val="24"/>
          <w:szCs w:val="24"/>
        </w:rPr>
        <w:t>FF F</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Captures merchant rarity across the full transaction population. Rare merchants receive higher risk scores:</w:t>
      </w:r>
    </w:p>
    <w:p w14:paraId="57538BC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F=1−tmtmaxF = 1 - \frac{t_m}{t_{max}}F=1−tmax​tm​​ </w:t>
      </w:r>
    </w:p>
    <w:p w14:paraId="7E447F49">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where tmt_m tm​ is the total transaction count for merchant mm m and tmaxt_{max} tmax​ is the maximum transaction count observed across all merchants.</w:t>
      </w:r>
    </w:p>
    <w:p w14:paraId="649E61B9">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Signal 3 — Merchant Connectivity (</w:t>
      </w:r>
      <w:r>
        <w:rPr>
          <w:rFonts w:hint="default" w:ascii="Times New Roman" w:hAnsi="Times New Roman" w:cs="Times New Roman"/>
          <w:sz w:val="24"/>
          <w:szCs w:val="24"/>
        </w:rPr>
        <w:t>CC C</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Captures how many unique users have transacted with this merchant. Low-connectivity merchants are treated as less established:</w:t>
      </w:r>
    </w:p>
    <w:p w14:paraId="38078E4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C=1−umumaxC = 1 - \frac{u_m}{u_{max}}C=1−umax​um​​ </w:t>
      </w:r>
    </w:p>
    <w:p w14:paraId="2DCAAD1A">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where umu_m um​ is the number of unique users who have transacted with merchant mm m and umaxu_{max} umax​ is the maximum observed across all merchants.</w:t>
      </w:r>
    </w:p>
    <w:p w14:paraId="4A1BF088">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Intuition:</w:t>
      </w:r>
      <w:r>
        <w:rPr>
          <w:rFonts w:hint="default" w:ascii="Times New Roman" w:hAnsi="Times New Roman" w:cs="Times New Roman"/>
          <w:sz w:val="24"/>
          <w:szCs w:val="24"/>
        </w:rPr>
        <w:t xml:space="preserve"> A merchant appearing for the first time (N=1.0N = 1.0 N=1.0), with very few system-wide transactions (F≈1.0F \approx 1.0 F≈1.0), and only one known customer (C≈1.0C \approx 1.0 C≈1.0) receives Sgraph≈1.0S_{graph} \approx 1.0 Sgraph​≈1.0 — maximum risk. This captures new merchant exploitation fraud without requiring a full graph neural network.</w:t>
      </w:r>
    </w:p>
    <w:p w14:paraId="0972473E">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4DC39D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4.5 Synthesis Agent</w:t>
      </w:r>
    </w:p>
    <w:p w14:paraId="4652347A">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Synthesis Agent receives four agent risk scores and the transaction context label, and computes a final composite risk score RR R as a </w:t>
      </w:r>
      <w:r>
        <w:rPr>
          <w:rStyle w:val="10"/>
          <w:rFonts w:hint="default" w:ascii="Times New Roman" w:hAnsi="Times New Roman" w:cs="Times New Roman"/>
          <w:sz w:val="24"/>
          <w:szCs w:val="24"/>
        </w:rPr>
        <w:t>convex combination</w:t>
      </w:r>
      <w:r>
        <w:rPr>
          <w:rFonts w:hint="default" w:ascii="Times New Roman" w:hAnsi="Times New Roman" w:cs="Times New Roman"/>
          <w:sz w:val="24"/>
          <w:szCs w:val="24"/>
        </w:rPr>
        <w:t xml:space="preserve"> of agent outputs:</w:t>
      </w:r>
    </w:p>
    <w:p w14:paraId="01A108E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R=w1⋅Svelocity+w2⋅Sgeo+w3⋅Sbehavior+w4⋅SgraphR = w_1 \cdot S_{velocity} + w_2 \cdot S_{geo} + w_3 \cdot S_{behavior} + w_4 \cdot S_{graph}R=w1​⋅Svelocity​+w2​⋅Sgeo​+w3​⋅Sbehavior​+w4​⋅Sgraph​ </w:t>
      </w:r>
    </w:p>
    <w:p w14:paraId="6EE894BC">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where wi≥0w_i \geq 0 wi​≥0 for all ii i and ∑i=14wi=1.0\sum_{i=1}^{4} w_i = 1.0 ∑i=14​wi​=1.0. Because each agent score Si∈[0,1]S_i \in [0,1] Si​∈[0,1] and the weights form a convex combination, the composite score is guaranteed R∈[0,1]R \in [0,1] R∈[0,1] by construction — no post-hoc clipping or normalization is required.</w:t>
      </w:r>
    </w:p>
    <w:p w14:paraId="12F1F891">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Context-Specific Weight Vectors: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95"/>
        <w:gridCol w:w="1233"/>
        <w:gridCol w:w="527"/>
        <w:gridCol w:w="495"/>
      </w:tblGrid>
      <w:tr w14:paraId="6D710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B7F24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Agent</w:t>
            </w:r>
          </w:p>
        </w:tc>
        <w:tc>
          <w:tcPr>
            <w:tcW w:w="0" w:type="auto"/>
            <w:shd w:val="clear" w:color="auto" w:fill="auto"/>
            <w:vAlign w:val="center"/>
          </w:tcPr>
          <w:p w14:paraId="5A89E3B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Remittance</w:t>
            </w:r>
          </w:p>
        </w:tc>
        <w:tc>
          <w:tcPr>
            <w:tcW w:w="0" w:type="auto"/>
            <w:shd w:val="clear" w:color="auto" w:fill="auto"/>
            <w:vAlign w:val="center"/>
          </w:tcPr>
          <w:p w14:paraId="22EA998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w:t>
            </w:r>
          </w:p>
        </w:tc>
        <w:tc>
          <w:tcPr>
            <w:tcW w:w="0" w:type="auto"/>
            <w:shd w:val="clear" w:color="auto" w:fill="auto"/>
            <w:vAlign w:val="center"/>
          </w:tcPr>
          <w:p w14:paraId="2742C10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QR</w:t>
            </w:r>
          </w:p>
        </w:tc>
      </w:tr>
      <w:tr w14:paraId="44A50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6E2A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Velocity (w1w_1 w1​)</w:t>
            </w:r>
          </w:p>
        </w:tc>
        <w:tc>
          <w:tcPr>
            <w:tcW w:w="0" w:type="auto"/>
            <w:shd w:val="clear" w:color="auto" w:fill="auto"/>
            <w:vAlign w:val="center"/>
          </w:tcPr>
          <w:p w14:paraId="43AA23E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0.15</w:t>
            </w:r>
          </w:p>
        </w:tc>
        <w:tc>
          <w:tcPr>
            <w:tcW w:w="0" w:type="auto"/>
            <w:shd w:val="clear" w:color="auto" w:fill="auto"/>
            <w:vAlign w:val="center"/>
          </w:tcPr>
          <w:p w14:paraId="0B73C22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0.40</w:t>
            </w:r>
          </w:p>
        </w:tc>
        <w:tc>
          <w:tcPr>
            <w:tcW w:w="0" w:type="auto"/>
            <w:shd w:val="clear" w:color="auto" w:fill="auto"/>
            <w:vAlign w:val="center"/>
          </w:tcPr>
          <w:p w14:paraId="28A08F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0.30</w:t>
            </w:r>
          </w:p>
        </w:tc>
      </w:tr>
      <w:tr w14:paraId="7F56D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023D5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Geo (w2w_2 w2​)</w:t>
            </w:r>
          </w:p>
        </w:tc>
        <w:tc>
          <w:tcPr>
            <w:tcW w:w="0" w:type="auto"/>
            <w:shd w:val="clear" w:color="auto" w:fill="auto"/>
            <w:vAlign w:val="center"/>
          </w:tcPr>
          <w:p w14:paraId="27E51E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0.40</w:t>
            </w:r>
          </w:p>
        </w:tc>
        <w:tc>
          <w:tcPr>
            <w:tcW w:w="0" w:type="auto"/>
            <w:shd w:val="clear" w:color="auto" w:fill="auto"/>
            <w:vAlign w:val="center"/>
          </w:tcPr>
          <w:p w14:paraId="1A132B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0.25</w:t>
            </w:r>
          </w:p>
        </w:tc>
        <w:tc>
          <w:tcPr>
            <w:tcW w:w="0" w:type="auto"/>
            <w:shd w:val="clear" w:color="auto" w:fill="auto"/>
            <w:vAlign w:val="center"/>
          </w:tcPr>
          <w:p w14:paraId="4FF76B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0.25</w:t>
            </w:r>
          </w:p>
        </w:tc>
      </w:tr>
      <w:tr w14:paraId="59DA8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D1726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Behavior (w3w_3 w3​)</w:t>
            </w:r>
          </w:p>
        </w:tc>
        <w:tc>
          <w:tcPr>
            <w:tcW w:w="0" w:type="auto"/>
            <w:shd w:val="clear" w:color="auto" w:fill="auto"/>
            <w:vAlign w:val="center"/>
          </w:tcPr>
          <w:p w14:paraId="25FCA8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0.30</w:t>
            </w:r>
          </w:p>
        </w:tc>
        <w:tc>
          <w:tcPr>
            <w:tcW w:w="0" w:type="auto"/>
            <w:shd w:val="clear" w:color="auto" w:fill="auto"/>
            <w:vAlign w:val="center"/>
          </w:tcPr>
          <w:p w14:paraId="42CB7AF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0.20</w:t>
            </w:r>
          </w:p>
        </w:tc>
        <w:tc>
          <w:tcPr>
            <w:tcW w:w="0" w:type="auto"/>
            <w:shd w:val="clear" w:color="auto" w:fill="auto"/>
            <w:vAlign w:val="center"/>
          </w:tcPr>
          <w:p w14:paraId="10C1714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0.25</w:t>
            </w:r>
          </w:p>
        </w:tc>
      </w:tr>
      <w:tr w14:paraId="61442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D7B69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Graph Risk (w4w_4 w4​)</w:t>
            </w:r>
          </w:p>
        </w:tc>
        <w:tc>
          <w:tcPr>
            <w:tcW w:w="0" w:type="auto"/>
            <w:shd w:val="clear" w:color="auto" w:fill="auto"/>
            <w:vAlign w:val="center"/>
          </w:tcPr>
          <w:p w14:paraId="68D62F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0.15</w:t>
            </w:r>
          </w:p>
        </w:tc>
        <w:tc>
          <w:tcPr>
            <w:tcW w:w="0" w:type="auto"/>
            <w:shd w:val="clear" w:color="auto" w:fill="auto"/>
            <w:vAlign w:val="center"/>
          </w:tcPr>
          <w:p w14:paraId="5455ADF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0.15</w:t>
            </w:r>
          </w:p>
        </w:tc>
        <w:tc>
          <w:tcPr>
            <w:tcW w:w="0" w:type="auto"/>
            <w:shd w:val="clear" w:color="auto" w:fill="auto"/>
            <w:vAlign w:val="center"/>
          </w:tcPr>
          <w:p w14:paraId="7A004F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0.20</w:t>
            </w:r>
          </w:p>
        </w:tc>
      </w:tr>
      <w:tr w14:paraId="6B5E6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E25FE3">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Sum</w:t>
            </w:r>
          </w:p>
        </w:tc>
        <w:tc>
          <w:tcPr>
            <w:tcW w:w="0" w:type="auto"/>
            <w:shd w:val="clear" w:color="auto" w:fill="auto"/>
            <w:vAlign w:val="center"/>
          </w:tcPr>
          <w:p w14:paraId="58B7F0E9">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1.00</w:t>
            </w:r>
          </w:p>
        </w:tc>
        <w:tc>
          <w:tcPr>
            <w:tcW w:w="0" w:type="auto"/>
            <w:shd w:val="clear" w:color="auto" w:fill="auto"/>
            <w:vAlign w:val="center"/>
          </w:tcPr>
          <w:p w14:paraId="45FFB51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1.00</w:t>
            </w:r>
          </w:p>
        </w:tc>
        <w:tc>
          <w:tcPr>
            <w:tcW w:w="0" w:type="auto"/>
            <w:shd w:val="clear" w:color="auto" w:fill="auto"/>
            <w:vAlign w:val="center"/>
          </w:tcPr>
          <w:p w14:paraId="200685FE">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1.00</w:t>
            </w:r>
          </w:p>
        </w:tc>
      </w:tr>
    </w:tbl>
    <w:p w14:paraId="79C25EE4">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Weight Rationale:</w:t>
      </w:r>
    </w:p>
    <w:p w14:paraId="33263BA8">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8"/>
          <w:rFonts w:hint="default" w:ascii="Times New Roman" w:hAnsi="Times New Roman" w:cs="Times New Roman"/>
          <w:sz w:val="24"/>
          <w:szCs w:val="24"/>
        </w:rPr>
        <w:t>Remittance</w:t>
      </w:r>
      <w:r>
        <w:rPr>
          <w:rFonts w:hint="default" w:ascii="Times New Roman" w:hAnsi="Times New Roman" w:cs="Times New Roman"/>
          <w:sz w:val="24"/>
          <w:szCs w:val="24"/>
        </w:rPr>
        <w:t xml:space="preserve"> — typically low-frequency, high-value periodic transfers, often from migrant workers sending money home. Velocity anomalies are less diagnostic given the inherently low transaction frequency of this context. Geographic anomalies are highly informative — a sudden change in sending location without travel history is a strong fraud signal. Geo therefore receives the highest weight (0.40).</w:t>
      </w:r>
    </w:p>
    <w:p w14:paraId="5305EECB">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8"/>
          <w:rFonts w:hint="default" w:ascii="Times New Roman" w:hAnsi="Times New Roman" w:cs="Times New Roman"/>
          <w:sz w:val="24"/>
          <w:szCs w:val="24"/>
        </w:rPr>
        <w:t>POS</w:t>
      </w:r>
      <w:r>
        <w:rPr>
          <w:rFonts w:hint="default" w:ascii="Times New Roman" w:hAnsi="Times New Roman" w:cs="Times New Roman"/>
          <w:sz w:val="24"/>
          <w:szCs w:val="24"/>
        </w:rPr>
        <w:t xml:space="preserve"> — frequent, location-bound, time-sensitive transactions. Velocity is the most discriminative signal; an unusual number of POS transactions in a short window is the dominant fraud pattern in this context.</w:t>
      </w:r>
    </w:p>
    <w:p w14:paraId="2EB9F208">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8"/>
          <w:rFonts w:hint="default" w:ascii="Times New Roman" w:hAnsi="Times New Roman" w:cs="Times New Roman"/>
          <w:sz w:val="24"/>
          <w:szCs w:val="24"/>
        </w:rPr>
        <w:t>QR payments</w:t>
      </w:r>
      <w:r>
        <w:rPr>
          <w:rFonts w:hint="default" w:ascii="Times New Roman" w:hAnsi="Times New Roman" w:cs="Times New Roman"/>
          <w:sz w:val="24"/>
          <w:szCs w:val="24"/>
        </w:rPr>
        <w:t xml:space="preserve"> — low-value, high-frequency, spanning diverse merchant types. No single signal dominates, justifying a balanced distribution. Graph Risk receives a marginally elevated weight (0.20) reflecting the prevalence of QR-based merchant fraud through newly created or obscure merchant accounts.</w:t>
      </w:r>
    </w:p>
    <w:p w14:paraId="6EE8CC35">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F60D27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4.6 OTP Interlock — Threshold Mapping</w:t>
      </w:r>
    </w:p>
    <w:p w14:paraId="38F14897">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composite score RR R is mapped to a decision action through context-specific threshold bands. Each transaction type maintains its own threshold table, reflecting its distinct risk tolerance:</w:t>
      </w:r>
    </w:p>
    <w:p w14:paraId="296D7DF5">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Remittance</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(strictest thresholds — high value, high sensitivity)</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gridCol w:w="1202"/>
      </w:tblGrid>
      <w:tr w14:paraId="7641D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64ED0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RR R Range</w:t>
            </w:r>
          </w:p>
        </w:tc>
        <w:tc>
          <w:tcPr>
            <w:tcW w:w="0" w:type="auto"/>
            <w:shd w:val="clear" w:color="auto" w:fill="auto"/>
            <w:vAlign w:val="center"/>
          </w:tcPr>
          <w:p w14:paraId="2175983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Action</w:t>
            </w:r>
          </w:p>
        </w:tc>
      </w:tr>
      <w:tr w14:paraId="7F8F3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B830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R&lt;0.35R &lt; 0.35 R&lt;0.35</w:t>
            </w:r>
          </w:p>
        </w:tc>
        <w:tc>
          <w:tcPr>
            <w:tcW w:w="0" w:type="auto"/>
            <w:shd w:val="clear" w:color="auto" w:fill="auto"/>
            <w:vAlign w:val="center"/>
          </w:tcPr>
          <w:p w14:paraId="2043D65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Approve</w:t>
            </w:r>
          </w:p>
        </w:tc>
      </w:tr>
      <w:tr w14:paraId="23BE8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55A5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0.35≤R&lt;0.600.35 \leq R &lt; 0.60 0.35≤R&lt;0.60</w:t>
            </w:r>
          </w:p>
        </w:tc>
        <w:tc>
          <w:tcPr>
            <w:tcW w:w="0" w:type="auto"/>
            <w:shd w:val="clear" w:color="auto" w:fill="auto"/>
            <w:vAlign w:val="center"/>
          </w:tcPr>
          <w:p w14:paraId="4EF1D2B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Single OTP</w:t>
            </w:r>
          </w:p>
        </w:tc>
      </w:tr>
      <w:tr w14:paraId="53D3D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A744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0.60≤R&lt;0.800.60 \leq R &lt; 0.80 0.60≤R&lt;0.80</w:t>
            </w:r>
          </w:p>
        </w:tc>
        <w:tc>
          <w:tcPr>
            <w:tcW w:w="0" w:type="auto"/>
            <w:shd w:val="clear" w:color="auto" w:fill="auto"/>
            <w:vAlign w:val="center"/>
          </w:tcPr>
          <w:p w14:paraId="6CAD9F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Dual OTP</w:t>
            </w:r>
          </w:p>
        </w:tc>
      </w:tr>
      <w:tr w14:paraId="3D57A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DC266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R≥0.80R \geq 0.80 R≥0.80</w:t>
            </w:r>
          </w:p>
        </w:tc>
        <w:tc>
          <w:tcPr>
            <w:tcW w:w="0" w:type="auto"/>
            <w:shd w:val="clear" w:color="auto" w:fill="auto"/>
            <w:vAlign w:val="center"/>
          </w:tcPr>
          <w:p w14:paraId="468214C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Block</w:t>
            </w:r>
          </w:p>
        </w:tc>
      </w:tr>
    </w:tbl>
    <w:p w14:paraId="3D15D03F">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POS</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(moderate thresholds — frequent, lower individual risk)</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gridCol w:w="1202"/>
      </w:tblGrid>
      <w:tr w14:paraId="653FC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D6F95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RR R Range</w:t>
            </w:r>
          </w:p>
        </w:tc>
        <w:tc>
          <w:tcPr>
            <w:tcW w:w="0" w:type="auto"/>
            <w:shd w:val="clear" w:color="auto" w:fill="auto"/>
            <w:vAlign w:val="center"/>
          </w:tcPr>
          <w:p w14:paraId="06E1779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Action</w:t>
            </w:r>
          </w:p>
        </w:tc>
      </w:tr>
      <w:tr w14:paraId="312A4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3FFF0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R&lt;0.50R &lt; 0.50 R&lt;0.50</w:t>
            </w:r>
          </w:p>
        </w:tc>
        <w:tc>
          <w:tcPr>
            <w:tcW w:w="0" w:type="auto"/>
            <w:shd w:val="clear" w:color="auto" w:fill="auto"/>
            <w:vAlign w:val="center"/>
          </w:tcPr>
          <w:p w14:paraId="4E9C763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Approve</w:t>
            </w:r>
          </w:p>
        </w:tc>
      </w:tr>
      <w:tr w14:paraId="3EF21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C830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0.50≤R&lt;0.700.50 \leq R &lt; 0.70 0.50≤R&lt;0.70</w:t>
            </w:r>
          </w:p>
        </w:tc>
        <w:tc>
          <w:tcPr>
            <w:tcW w:w="0" w:type="auto"/>
            <w:shd w:val="clear" w:color="auto" w:fill="auto"/>
            <w:vAlign w:val="center"/>
          </w:tcPr>
          <w:p w14:paraId="59F5485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Single OTP</w:t>
            </w:r>
          </w:p>
        </w:tc>
      </w:tr>
      <w:tr w14:paraId="5208D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29BDB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0.70≤R&lt;0.900.70 \leq R &lt; 0.90 0.70≤R&lt;0.90</w:t>
            </w:r>
          </w:p>
        </w:tc>
        <w:tc>
          <w:tcPr>
            <w:tcW w:w="0" w:type="auto"/>
            <w:shd w:val="clear" w:color="auto" w:fill="auto"/>
            <w:vAlign w:val="center"/>
          </w:tcPr>
          <w:p w14:paraId="1A7C04E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Dual OTP</w:t>
            </w:r>
          </w:p>
        </w:tc>
      </w:tr>
      <w:tr w14:paraId="542C8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78126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R≥0.90R \geq 0.90 R≥0.90</w:t>
            </w:r>
          </w:p>
        </w:tc>
        <w:tc>
          <w:tcPr>
            <w:tcW w:w="0" w:type="auto"/>
            <w:shd w:val="clear" w:color="auto" w:fill="auto"/>
            <w:vAlign w:val="center"/>
          </w:tcPr>
          <w:p w14:paraId="5AD5C3C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Block</w:t>
            </w:r>
          </w:p>
        </w:tc>
      </w:tr>
    </w:tbl>
    <w:p w14:paraId="76E8F06B">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QR Payment</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(most tolerant thresholds — low value, high frequency)</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gridCol w:w="1202"/>
      </w:tblGrid>
      <w:tr w14:paraId="4165D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79E73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RR R Range</w:t>
            </w:r>
          </w:p>
        </w:tc>
        <w:tc>
          <w:tcPr>
            <w:tcW w:w="0" w:type="auto"/>
            <w:shd w:val="clear" w:color="auto" w:fill="auto"/>
            <w:vAlign w:val="center"/>
          </w:tcPr>
          <w:p w14:paraId="2776CBB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Action</w:t>
            </w:r>
          </w:p>
        </w:tc>
      </w:tr>
      <w:tr w14:paraId="40891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C875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R&lt;0.55R &lt; 0.55 R&lt;0.55</w:t>
            </w:r>
          </w:p>
        </w:tc>
        <w:tc>
          <w:tcPr>
            <w:tcW w:w="0" w:type="auto"/>
            <w:shd w:val="clear" w:color="auto" w:fill="auto"/>
            <w:vAlign w:val="center"/>
          </w:tcPr>
          <w:p w14:paraId="167338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Approve</w:t>
            </w:r>
          </w:p>
        </w:tc>
      </w:tr>
      <w:tr w14:paraId="5C20D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380A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0.55≤R&lt;0.750.55 \leq R &lt; 0.75 0.55≤R&lt;0.75</w:t>
            </w:r>
          </w:p>
        </w:tc>
        <w:tc>
          <w:tcPr>
            <w:tcW w:w="0" w:type="auto"/>
            <w:shd w:val="clear" w:color="auto" w:fill="auto"/>
            <w:vAlign w:val="center"/>
          </w:tcPr>
          <w:p w14:paraId="7B0116E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Single OTP</w:t>
            </w:r>
          </w:p>
        </w:tc>
      </w:tr>
      <w:tr w14:paraId="43BB5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066E4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0.75≤R&lt;0.900.75 \leq R &lt; 0.90 0.75≤R&lt;0.90</w:t>
            </w:r>
          </w:p>
        </w:tc>
        <w:tc>
          <w:tcPr>
            <w:tcW w:w="0" w:type="auto"/>
            <w:shd w:val="clear" w:color="auto" w:fill="auto"/>
            <w:vAlign w:val="center"/>
          </w:tcPr>
          <w:p w14:paraId="5B4B69F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Dual OTP</w:t>
            </w:r>
          </w:p>
        </w:tc>
      </w:tr>
      <w:tr w14:paraId="53C0F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83CB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R≥0.90R \geq 0.90 R≥0.90</w:t>
            </w:r>
          </w:p>
        </w:tc>
        <w:tc>
          <w:tcPr>
            <w:tcW w:w="0" w:type="auto"/>
            <w:shd w:val="clear" w:color="auto" w:fill="auto"/>
            <w:vAlign w:val="center"/>
          </w:tcPr>
          <w:p w14:paraId="4C68E7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Block</w:t>
            </w:r>
          </w:p>
        </w:tc>
      </w:tr>
    </w:tbl>
    <w:p w14:paraId="44398F5D">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All threshold values are heuristically defined based on domain risk sensitivity and user experience considerations. In a production environment, these can be calibrated empirically using historical fraud data and optimized against precision-recall trade-offs.</w:t>
      </w:r>
    </w:p>
    <w:p w14:paraId="2DBB70AE">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0A42E4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Diagram Suggestions for Section 4</w:t>
      </w:r>
    </w:p>
    <w:p w14:paraId="69825DE4">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Figure 2 — Velocity Window Stack:</w:t>
      </w:r>
      <w:r>
        <w:rPr>
          <w:rFonts w:hint="default" w:ascii="Times New Roman" w:hAnsi="Times New Roman" w:cs="Times New Roman"/>
          <w:sz w:val="24"/>
          <w:szCs w:val="24"/>
        </w:rPr>
        <w:t xml:space="preserve"> A horizontal timeline showing three overlapping rolling windows (1 min, 1 hour, 24 hours) with threshold lines marked. Annotate with "interaction term activates when all three violated."</w:t>
      </w:r>
    </w:p>
    <w:p w14:paraId="4FD11DD4">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Figure 3 — Synthesis Weight Radar Chart:</w:t>
      </w:r>
      <w:r>
        <w:rPr>
          <w:rFonts w:hint="default" w:ascii="Times New Roman" w:hAnsi="Times New Roman" w:cs="Times New Roman"/>
          <w:sz w:val="24"/>
          <w:szCs w:val="24"/>
        </w:rPr>
        <w:t xml:space="preserve"> A radar/spider chart with four axes (Velocity, Geo, Behavior, Graph Risk) showing three overlapping polygons — one per transaction context. This makes weight differences immediately visually legible.</w:t>
      </w:r>
    </w:p>
    <w:p w14:paraId="2281C657">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Figure 4 — Threshold Bands:</w:t>
      </w:r>
      <w:r>
        <w:rPr>
          <w:rFonts w:hint="default" w:ascii="Times New Roman" w:hAnsi="Times New Roman" w:cs="Times New Roman"/>
          <w:sz w:val="24"/>
          <w:szCs w:val="24"/>
        </w:rPr>
        <w:t xml:space="preserve"> A horizontal score bar (0.0 to 1.0) with color bands (green/yellow/orange/red) showing the four risk tiers. Draw three versions side by side — one per context — to visualize how thresholds shift left for remittance.</w:t>
      </w:r>
    </w:p>
    <w:p w14:paraId="52B5D22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Robustness Enhancements</w:t>
      </w:r>
    </w:p>
    <w:p w14:paraId="4E89B3C8">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fraud detection framework is only as strong as its ability to handle edge cases that fall outside normal operating assumptions. This section addresses three robustness challenges explicitly designed into the framework: cold-start user handling, SIM-swap attack mitigation, and false positive reduction.</w:t>
      </w:r>
    </w:p>
    <w:p w14:paraId="697625B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D53A6B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5.1 Cold-Start User Handling</w:t>
      </w:r>
    </w:p>
    <w:p w14:paraId="39F6A676">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The Problem:</w:t>
      </w:r>
      <w:r>
        <w:rPr>
          <w:rFonts w:hint="default" w:ascii="Times New Roman" w:hAnsi="Times New Roman" w:cs="Times New Roman"/>
          <w:sz w:val="24"/>
          <w:szCs w:val="24"/>
        </w:rPr>
        <w:t xml:space="preserve"> New users present a fundamental challenge for behavioral fraud detection — without transaction history, the Behavior Agent has no established baseline to detect deviations from, and the Graph-inspired Risk Agent has no prior user–merchant interaction records. A naive system would either flag all new user transactions as high risk (producing excessive false positives) or ignore the absence of history entirely (leaving a clear exploitation window).</w:t>
      </w:r>
    </w:p>
    <w:p w14:paraId="136AD277">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The Approach:</w:t>
      </w:r>
      <w:r>
        <w:rPr>
          <w:rFonts w:hint="default" w:ascii="Times New Roman" w:hAnsi="Times New Roman" w:cs="Times New Roman"/>
          <w:sz w:val="24"/>
          <w:szCs w:val="24"/>
        </w:rPr>
        <w:t xml:space="preserve"> The framework handles cold-start users through a combination of conservative defaults and graceful degradation:</w:t>
      </w:r>
    </w:p>
    <w:p w14:paraId="7AF66748">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Default Risk Elevation:</w:t>
      </w:r>
      <w:r>
        <w:rPr>
          <w:rFonts w:hint="default" w:ascii="Times New Roman" w:hAnsi="Times New Roman" w:cs="Times New Roman"/>
          <w:sz w:val="24"/>
          <w:szCs w:val="24"/>
        </w:rPr>
        <w:t xml:space="preserve"> In the absence of a behavioral baseline, the Behavior Agent returns a moderate default anomaly score rather than zero. This reflects genuine uncertainty — the system does not know whether the user's behavior is normal or anomalous, and that uncertainty itself carries risk signal.</w:t>
      </w:r>
    </w:p>
    <w:p w14:paraId="03EFED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Sbehaviorcold=βwhere β=0.5S_{behavior}^{cold} = \beta \quad \text{where } \beta = 0.5Sbehaviorcold​=βwhere β=0.5 </w:t>
      </w:r>
    </w:p>
    <w:p w14:paraId="1A5745A2">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In our implementation, β=0.5\beta = 0.5 β=0.5 — the midpoint of the scoring range — representing maximum uncertainty about the user's behavioral profile. This ensures mild OTP friction is applied to new users without treating them as high-risk by default.</w:t>
      </w:r>
    </w:p>
    <w:p w14:paraId="1520B4D8">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Graph Risk Elevation:</w:t>
      </w:r>
      <w:r>
        <w:rPr>
          <w:rFonts w:hint="default" w:ascii="Times New Roman" w:hAnsi="Times New Roman" w:cs="Times New Roman"/>
          <w:sz w:val="24"/>
          <w:szCs w:val="24"/>
        </w:rPr>
        <w:t xml:space="preserve"> First-time users interacting with any merchant receive N=1.0N = 1.0 N=1.0 (maximum novelty score) by definition, naturally elevating SgraphS_{graph} Sgraph​ for all cold-start transactions. No special handling is required — the novelty signal already encodes the absence of interaction history.</w:t>
      </w:r>
    </w:p>
    <w:p w14:paraId="15E6CAAC">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Velocity and Geo Bootstrapping:</w:t>
      </w:r>
      <w:r>
        <w:rPr>
          <w:rFonts w:hint="default" w:ascii="Times New Roman" w:hAnsi="Times New Roman" w:cs="Times New Roman"/>
          <w:sz w:val="24"/>
          <w:szCs w:val="24"/>
        </w:rPr>
        <w:t xml:space="preserve"> For new users, velocity thresholds are tightened by a cold-start multiplier γ&lt;1\gamma &lt; 1 γ&lt;1, reducing the number of transactions required to trigger a flag. The Geo Agent defaults to moderate risk for the first transaction since no location history exists to compare against.</w:t>
      </w:r>
    </w:p>
    <w:p w14:paraId="7BC4933B">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Graduated Trust Accumulation:</w:t>
      </w:r>
      <w:r>
        <w:rPr>
          <w:rFonts w:hint="default" w:ascii="Times New Roman" w:hAnsi="Times New Roman" w:cs="Times New Roman"/>
          <w:sz w:val="24"/>
          <w:szCs w:val="24"/>
        </w:rPr>
        <w:t xml:space="preserve"> As a user completes verified transactions over time, their behavioral profile is incrementally updated and the cold-start defaults are phased out. After a configurable number of successful transactions — for example, five verified interactions — the system transitions the user to full profile-based evaluation.</w:t>
      </w:r>
    </w:p>
    <w:p w14:paraId="34EF5247">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Intuition:</w:t>
      </w:r>
      <w:r>
        <w:rPr>
          <w:rFonts w:hint="default" w:ascii="Times New Roman" w:hAnsi="Times New Roman" w:cs="Times New Roman"/>
          <w:sz w:val="24"/>
          <w:szCs w:val="24"/>
        </w:rPr>
        <w:t xml:space="preserve"> A new user is not assumed fraudulent, but is treated with appropriate caution. The system applies light friction (typically Single OTP) to early transactions and relaxes it as trust accumulates — mirroring the natural onboarding caution of any responsible financial institution.</w:t>
      </w:r>
    </w:p>
    <w:p w14:paraId="27F6267A">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6D7B52C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5.2 SIM-Swap Attack Mitigation</w:t>
      </w:r>
    </w:p>
    <w:p w14:paraId="2D13CABA">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The Problem:</w:t>
      </w:r>
      <w:r>
        <w:rPr>
          <w:rFonts w:hint="default" w:ascii="Times New Roman" w:hAnsi="Times New Roman" w:cs="Times New Roman"/>
          <w:sz w:val="24"/>
          <w:szCs w:val="24"/>
        </w:rPr>
        <w:t xml:space="preserve"> SIM-swap fraud occurs when an attacker convinces a mobile carrier to transfer a victim's phone number to a SIM card under the attacker's control. Once successful, the attacker can intercept OTP messages intended for the victim, bypassing standard single-factor OTP verification entirely. This attack is particularly relevant in Nepal's context, where OTP-based authentication is the primary — and often sole — second factor for digital payment authorization.</w:t>
      </w:r>
    </w:p>
    <w:p w14:paraId="3AFB70BE">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The Approach:</w:t>
      </w:r>
      <w:r>
        <w:rPr>
          <w:rFonts w:hint="default" w:ascii="Times New Roman" w:hAnsi="Times New Roman" w:cs="Times New Roman"/>
          <w:sz w:val="24"/>
          <w:szCs w:val="24"/>
        </w:rPr>
        <w:t xml:space="preserve"> The framework addresses SIM-swap risk through multi-signal detection and adaptive authentication escalation:</w:t>
      </w:r>
    </w:p>
    <w:p w14:paraId="11740643">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Geo-Device Divergence Detection:</w:t>
      </w:r>
      <w:r>
        <w:rPr>
          <w:rFonts w:hint="default" w:ascii="Times New Roman" w:hAnsi="Times New Roman" w:cs="Times New Roman"/>
          <w:sz w:val="24"/>
          <w:szCs w:val="24"/>
        </w:rPr>
        <w:t xml:space="preserve"> A SIM-swap attack frequently produces a characteristic signal pattern: the transaction originates from a familiar location but from an unrecognized device, or vice versa. The Geo Agent's device-location mismatch flag is specifically sensitive to this pattern. A high δdevice\delta_{device} δdevice​ score combined with a moderate δlocation\delta_{location} δlocation​ score produces an elevated SgeoS_{geo} Sgeo​ that propagates into the composite risk score.</w:t>
      </w:r>
    </w:p>
    <w:p w14:paraId="577D95E5">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Behavioral Discontinuity:</w:t>
      </w:r>
      <w:r>
        <w:rPr>
          <w:rFonts w:hint="default" w:ascii="Times New Roman" w:hAnsi="Times New Roman" w:cs="Times New Roman"/>
          <w:sz w:val="24"/>
          <w:szCs w:val="24"/>
        </w:rPr>
        <w:t xml:space="preserve"> Following a SIM-swap, attackers typically initiate transactions that deviate significantly from the victim's established behavioral profile — different amounts, unusual times, unfamiliar merchant categories. The Behavior Agent flags these deviations as anomalous, contributing an elevated SbehaviorS_{behavior} Sbehavior​ score independently of the geo signal.</w:t>
      </w:r>
    </w:p>
    <w:p w14:paraId="2A61E163">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Synthesis-Level Amplification:</w:t>
      </w:r>
      <w:r>
        <w:rPr>
          <w:rFonts w:hint="default" w:ascii="Times New Roman" w:hAnsi="Times New Roman" w:cs="Times New Roman"/>
          <w:sz w:val="24"/>
          <w:szCs w:val="24"/>
        </w:rPr>
        <w:t xml:space="preserve"> When both SgeoS_{geo} Sgeo​ and SbehaviorS_{behavior} Sbehavior​ are simultaneously elevated — a pattern consistent with SIM-swap scenarios — the composite score RR R naturally reflects this through the weighted combination. For remittance transactions, where geo weight is highest (0.40), this amplification is most pronounced.</w:t>
      </w:r>
    </w:p>
    <w:p w14:paraId="2024EF09">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Adaptive Authentication Escalation:</w:t>
      </w:r>
      <w:r>
        <w:rPr>
          <w:rFonts w:hint="default" w:ascii="Times New Roman" w:hAnsi="Times New Roman" w:cs="Times New Roman"/>
          <w:sz w:val="24"/>
          <w:szCs w:val="24"/>
        </w:rPr>
        <w:t xml:space="preserve"> When the composite score places a transaction in the Dual OTP tier, the system requires verification through a channel independent of SMS. This directly neutralizes the SIM-swap attack vector, since the attacker controls the victim's SMS channel but not necessarily their registered email or authenticated app session. In Nepal's context, this escalation could be fulfilled through the bank's mobile banking app push notification or registered email — channels independent of SIM ownership and not compromised by a SIM-swap event.</w:t>
      </w:r>
    </w:p>
    <w:p w14:paraId="0220F117">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Intuition:</w:t>
      </w:r>
      <w:r>
        <w:rPr>
          <w:rFonts w:hint="default" w:ascii="Times New Roman" w:hAnsi="Times New Roman" w:cs="Times New Roman"/>
          <w:sz w:val="24"/>
          <w:szCs w:val="24"/>
        </w:rPr>
        <w:t xml:space="preserve"> The framework does not require explicit SIM-swap detection as a separate module. Instead, SIM-swap attacks naturally produce a combination of geo anomaly and behavioral discontinuity signals that the existing agents detect independently. The Dual OTP response then escalates authentication to a channel the attacker cannot intercept.</w:t>
      </w:r>
    </w:p>
    <w:p w14:paraId="660BABD5">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B9D4C2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5.3 False Positive Reduction</w:t>
      </w:r>
    </w:p>
    <w:p w14:paraId="7DD3D25F">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The Problem:</w:t>
      </w:r>
      <w:r>
        <w:rPr>
          <w:rFonts w:hint="default" w:ascii="Times New Roman" w:hAnsi="Times New Roman" w:cs="Times New Roman"/>
          <w:sz w:val="24"/>
          <w:szCs w:val="24"/>
        </w:rPr>
        <w:t xml:space="preserve"> False positives — legitimate transactions incorrectly flagged as fraudulent — are a critical concern in consumer payment systems. Each unnecessary OTP challenge adds friction to the user experience; each incorrect block risks customer churn. In Nepal's emerging digital payment market, where user trust in digital systems is still being established, excessive false positives carry disproportionate reputational and commercial costs.</w:t>
      </w:r>
    </w:p>
    <w:p w14:paraId="790101C6">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The Approach:</w:t>
      </w:r>
      <w:r>
        <w:rPr>
          <w:rFonts w:hint="default" w:ascii="Times New Roman" w:hAnsi="Times New Roman" w:cs="Times New Roman"/>
          <w:sz w:val="24"/>
          <w:szCs w:val="24"/>
        </w:rPr>
        <w:t xml:space="preserve"> The framework incorporates false positive reduction at three architectural levels:</w:t>
      </w:r>
    </w:p>
    <w:p w14:paraId="3EA0CDCE">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Context-Aware Thresholds:</w:t>
      </w:r>
      <w:r>
        <w:rPr>
          <w:rFonts w:hint="default" w:ascii="Times New Roman" w:hAnsi="Times New Roman" w:cs="Times New Roman"/>
          <w:sz w:val="24"/>
          <w:szCs w:val="24"/>
        </w:rPr>
        <w:t xml:space="preserve"> The most significant false positive reduction mechanism is the context-shifted threshold system described in Section 4.6. By applying stricter thresholds only where risk is genuinely elevated (remittance) and more tolerant thresholds where legitimate high-frequency activity is expected (QR, POS), the system avoids the uniform threshold trap that causes most rule-based systems to over-flag.</w:t>
      </w:r>
    </w:p>
    <w:p w14:paraId="2633A8F9">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Convex Score Combination:</w:t>
      </w:r>
      <w:r>
        <w:rPr>
          <w:rFonts w:hint="default" w:ascii="Times New Roman" w:hAnsi="Times New Roman" w:cs="Times New Roman"/>
          <w:sz w:val="24"/>
          <w:szCs w:val="24"/>
        </w:rPr>
        <w:t xml:space="preserve"> Because the final risk score RR R is a convex combination of four agent scores, no single agent can unilaterally drive a block decision. A highly anomalous behavior score must be corroborated by at least partial elevation in one or more other agents before the composite score reaches the blocking threshold. This multi-signal consensus requirement acts as a natural false positive filter.</w:t>
      </w:r>
    </w:p>
    <w:p w14:paraId="50C0613E">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Proportional Response Escalation:</w:t>
      </w:r>
      <w:r>
        <w:rPr>
          <w:rFonts w:hint="default" w:ascii="Times New Roman" w:hAnsi="Times New Roman" w:cs="Times New Roman"/>
          <w:sz w:val="24"/>
          <w:szCs w:val="24"/>
        </w:rPr>
        <w:t xml:space="preserve"> Rather than a binary approve/block decision, the four-tier OTP interlock ensures that borderline cases receive proportional friction rather than outright rejection. A transaction with R=0.55R = 0.55 R=0.55 for a POS payment triggers a Single OTP challenge — a minor inconvenience — rather than a block. This preserves the transaction while still applying a verification check, dramatically reducing the cost of borderline misclassifications.</w:t>
      </w:r>
    </w:p>
    <w:p w14:paraId="1EFC7FB3">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Cold-Start Calibration:</w:t>
      </w:r>
      <w:r>
        <w:rPr>
          <w:rFonts w:hint="default" w:ascii="Times New Roman" w:hAnsi="Times New Roman" w:cs="Times New Roman"/>
          <w:sz w:val="24"/>
          <w:szCs w:val="24"/>
        </w:rPr>
        <w:t xml:space="preserve"> As described in Section 5.1, new users receive moderate rather than maximum default scores, avoiding the blanket high-risk treatment that would produce systematic false positives during the onboarding period.</w:t>
      </w:r>
    </w:p>
    <w:p w14:paraId="2B45B341">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As a design target, the framework aims for a false positive rate below 5% for POS and QR transactions, and below 2% for remittance — reflecting the higher cost of friction in high-value, low-frequency transfer contexts. These are design targets informed by domain risk sensitivity rather than empirically validated claims, given the synthetic nature of the evaluation dataset.</w:t>
      </w:r>
    </w:p>
    <w:p w14:paraId="39095E18">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Intuition:</w:t>
      </w:r>
      <w:r>
        <w:rPr>
          <w:rFonts w:hint="default" w:ascii="Times New Roman" w:hAnsi="Times New Roman" w:cs="Times New Roman"/>
          <w:sz w:val="24"/>
          <w:szCs w:val="24"/>
        </w:rPr>
        <w:t xml:space="preserve"> The framework treats false positives not as an acceptable trade-off for security, but as a first-class design constraint. Every architectural decision — from convex score combination to context-shifted thresholds to graduated OTP response — is partly motivated by the need to minimize unnecessary friction for legitimate users.</w:t>
      </w:r>
    </w:p>
    <w:p w14:paraId="4466785B">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412F6B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5.4 Robustness Summary</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6"/>
        <w:gridCol w:w="4661"/>
        <w:gridCol w:w="2439"/>
      </w:tblGrid>
      <w:tr w14:paraId="512F4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69EF0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Challenge</w:t>
            </w:r>
          </w:p>
        </w:tc>
        <w:tc>
          <w:tcPr>
            <w:tcW w:w="0" w:type="auto"/>
            <w:shd w:val="clear" w:color="auto" w:fill="auto"/>
            <w:vAlign w:val="center"/>
          </w:tcPr>
          <w:p w14:paraId="5C39EE8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Detection Mechanism</w:t>
            </w:r>
          </w:p>
        </w:tc>
        <w:tc>
          <w:tcPr>
            <w:tcW w:w="0" w:type="auto"/>
            <w:shd w:val="clear" w:color="auto" w:fill="auto"/>
            <w:vAlign w:val="center"/>
          </w:tcPr>
          <w:p w14:paraId="6FFCD51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Response</w:t>
            </w:r>
          </w:p>
        </w:tc>
      </w:tr>
      <w:tr w14:paraId="31050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BAE9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Cold-start users</w:t>
            </w:r>
          </w:p>
        </w:tc>
        <w:tc>
          <w:tcPr>
            <w:tcW w:w="0" w:type="auto"/>
            <w:shd w:val="clear" w:color="auto" w:fill="auto"/>
            <w:vAlign w:val="center"/>
          </w:tcPr>
          <w:p w14:paraId="20E6270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Default score elevation (β=0.5\beta = 0.5 β=0.5), novelty signal, tightened velocity thresholds</w:t>
            </w:r>
          </w:p>
        </w:tc>
        <w:tc>
          <w:tcPr>
            <w:tcW w:w="0" w:type="auto"/>
            <w:shd w:val="clear" w:color="auto" w:fill="auto"/>
            <w:vAlign w:val="center"/>
          </w:tcPr>
          <w:p w14:paraId="7BF8A08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Graduated OTP friction, trust accumulation over time</w:t>
            </w:r>
          </w:p>
        </w:tc>
      </w:tr>
      <w:tr w14:paraId="009EE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C7C34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SIM-swap attacks</w:t>
            </w:r>
          </w:p>
        </w:tc>
        <w:tc>
          <w:tcPr>
            <w:tcW w:w="0" w:type="auto"/>
            <w:shd w:val="clear" w:color="auto" w:fill="auto"/>
            <w:vAlign w:val="center"/>
          </w:tcPr>
          <w:p w14:paraId="3414BE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Geo-device divergence (δdevice\delta_{device} δdevice​), behavioral discontinuity, synthesis amplification</w:t>
            </w:r>
          </w:p>
        </w:tc>
        <w:tc>
          <w:tcPr>
            <w:tcW w:w="0" w:type="auto"/>
            <w:shd w:val="clear" w:color="auto" w:fill="auto"/>
            <w:vAlign w:val="center"/>
          </w:tcPr>
          <w:p w14:paraId="471989C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Dual OTP via non-SMS channel (app push or email)</w:t>
            </w:r>
          </w:p>
        </w:tc>
      </w:tr>
      <w:tr w14:paraId="23407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40B1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False positives</w:t>
            </w:r>
          </w:p>
        </w:tc>
        <w:tc>
          <w:tcPr>
            <w:tcW w:w="0" w:type="auto"/>
            <w:shd w:val="clear" w:color="auto" w:fill="auto"/>
            <w:vAlign w:val="center"/>
          </w:tcPr>
          <w:p w14:paraId="11F273F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Context-aware thresholds, convex score combination, proportional escalation</w:t>
            </w:r>
          </w:p>
        </w:tc>
        <w:tc>
          <w:tcPr>
            <w:tcW w:w="0" w:type="auto"/>
            <w:shd w:val="clear" w:color="auto" w:fill="auto"/>
            <w:vAlign w:val="center"/>
          </w:tcPr>
          <w:p w14:paraId="560FEF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Reduced friction for legitimate transactions</w:t>
            </w:r>
          </w:p>
        </w:tc>
      </w:tr>
    </w:tbl>
    <w:p w14:paraId="5E6A533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62BF98A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Diagram Suggestion</w:t>
      </w:r>
    </w:p>
    <w:p w14:paraId="00A33EBD">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Figure 5 — SIM-Swap Signal Flow:</w:t>
      </w:r>
      <w:r>
        <w:rPr>
          <w:rFonts w:hint="default" w:ascii="Times New Roman" w:hAnsi="Times New Roman" w:cs="Times New Roman"/>
          <w:sz w:val="24"/>
          <w:szCs w:val="24"/>
        </w:rPr>
        <w:t xml:space="preserve"> A two-column comparison diagram:</w:t>
      </w:r>
    </w:p>
    <w:p w14:paraId="46A0AAE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Left — Normal Transaction:</w:t>
      </w:r>
      <w:r>
        <w:rPr>
          <w:rFonts w:hint="default" w:ascii="Times New Roman" w:hAnsi="Times New Roman" w:cs="Times New Roman"/>
          <w:sz w:val="24"/>
          <w:szCs w:val="24"/>
        </w:rPr>
        <w:t xml:space="preserve"> low SgeoS_{geo} Sgeo​, low SbehaviorS_{behavior} Sbehavior​ → low RR R → Approve</w:t>
      </w:r>
    </w:p>
    <w:p w14:paraId="6EE046F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Right — SIM-Swap Scenario:</w:t>
      </w:r>
      <w:r>
        <w:rPr>
          <w:rFonts w:hint="default" w:ascii="Times New Roman" w:hAnsi="Times New Roman" w:cs="Times New Roman"/>
          <w:sz w:val="24"/>
          <w:szCs w:val="24"/>
        </w:rPr>
        <w:t xml:space="preserve"> elevated SgeoS_{geo} Sgeo​ (device mismatch) + elevated SbehaviorS_{behavior} Sbehavior​ (behavioral discontinuity) → high RR R → Dual OTP via app push or email</w:t>
      </w:r>
    </w:p>
    <w:p w14:paraId="77035733">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makes the SIM-swap mitigation logic immediately legible to a non-technical bank judge without requiring them to follow the math.</w:t>
      </w:r>
    </w:p>
    <w:p w14:paraId="79D5C7B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Experimental Setup</w:t>
      </w:r>
    </w:p>
    <w:p w14:paraId="0BA3CADD">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section describes the synthetic dataset used for evaluation, the fraud scenarios simulated, and the experimental protocol applied to assess system behavior.</w:t>
      </w:r>
    </w:p>
    <w:p w14:paraId="10D595A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78523A6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6.1 Dataset Overview</w:t>
      </w:r>
    </w:p>
    <w:p w14:paraId="6BB76476">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Due to the absence of publicly available labeled fraud datasets specific to Nepal's digital payment ecosystem, evaluation is conducted on a </w:t>
      </w:r>
      <w:r>
        <w:rPr>
          <w:rStyle w:val="10"/>
          <w:rFonts w:hint="default" w:ascii="Times New Roman" w:hAnsi="Times New Roman" w:cs="Times New Roman"/>
          <w:sz w:val="24"/>
          <w:szCs w:val="24"/>
        </w:rPr>
        <w:t>domain-informed synthetic dataset</w:t>
      </w:r>
      <w:r>
        <w:rPr>
          <w:rFonts w:hint="default" w:ascii="Times New Roman" w:hAnsi="Times New Roman" w:cs="Times New Roman"/>
          <w:sz w:val="24"/>
          <w:szCs w:val="24"/>
        </w:rPr>
        <w:t xml:space="preserve"> constructed to reflect the behavioral and transactional characteristics of platforms such as eSewa and IME Pay. The dataset comprises </w:t>
      </w:r>
      <w:r>
        <w:rPr>
          <w:rStyle w:val="10"/>
          <w:rFonts w:hint="default" w:ascii="Times New Roman" w:hAnsi="Times New Roman" w:cs="Times New Roman"/>
          <w:sz w:val="24"/>
          <w:szCs w:val="24"/>
        </w:rPr>
        <w:t>8,500 transactions across 200 simulated users</w:t>
      </w:r>
      <w:r>
        <w:rPr>
          <w:rFonts w:hint="default" w:ascii="Times New Roman" w:hAnsi="Times New Roman" w:cs="Times New Roman"/>
          <w:sz w:val="24"/>
          <w:szCs w:val="24"/>
        </w:rPr>
        <w:t>, spanning three transaction types: remittance, POS, and QR payments.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22"/>
        <w:gridCol w:w="4934"/>
      </w:tblGrid>
      <w:tr w14:paraId="198CD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0C13F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Property</w:t>
            </w:r>
          </w:p>
        </w:tc>
        <w:tc>
          <w:tcPr>
            <w:tcW w:w="0" w:type="auto"/>
            <w:shd w:val="clear" w:color="auto" w:fill="auto"/>
            <w:vAlign w:val="center"/>
          </w:tcPr>
          <w:p w14:paraId="2EEF714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Value</w:t>
            </w:r>
          </w:p>
        </w:tc>
      </w:tr>
      <w:tr w14:paraId="6C505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7AE1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Total transactions</w:t>
            </w:r>
          </w:p>
        </w:tc>
        <w:tc>
          <w:tcPr>
            <w:tcW w:w="0" w:type="auto"/>
            <w:shd w:val="clear" w:color="auto" w:fill="auto"/>
            <w:vAlign w:val="center"/>
          </w:tcPr>
          <w:p w14:paraId="37BCCC7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8,500</w:t>
            </w:r>
          </w:p>
        </w:tc>
      </w:tr>
      <w:tr w14:paraId="3DC04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B12F5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Simulated users</w:t>
            </w:r>
          </w:p>
        </w:tc>
        <w:tc>
          <w:tcPr>
            <w:tcW w:w="0" w:type="auto"/>
            <w:shd w:val="clear" w:color="auto" w:fill="auto"/>
            <w:vAlign w:val="center"/>
          </w:tcPr>
          <w:p w14:paraId="4F60063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w:t>
            </w:r>
          </w:p>
        </w:tc>
      </w:tr>
      <w:tr w14:paraId="20981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80077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Fraudulent transactions</w:t>
            </w:r>
          </w:p>
        </w:tc>
        <w:tc>
          <w:tcPr>
            <w:tcW w:w="0" w:type="auto"/>
            <w:shd w:val="clear" w:color="auto" w:fill="auto"/>
            <w:vAlign w:val="center"/>
          </w:tcPr>
          <w:p w14:paraId="1D8774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~450 (5.3%)</w:t>
            </w:r>
          </w:p>
        </w:tc>
      </w:tr>
      <w:tr w14:paraId="05BDE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F51E8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Legitimate transactions</w:t>
            </w:r>
          </w:p>
        </w:tc>
        <w:tc>
          <w:tcPr>
            <w:tcW w:w="0" w:type="auto"/>
            <w:shd w:val="clear" w:color="auto" w:fill="auto"/>
            <w:vAlign w:val="center"/>
          </w:tcPr>
          <w:p w14:paraId="75E3F2B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~8,050 (94.7%)</w:t>
            </w:r>
          </w:p>
        </w:tc>
      </w:tr>
      <w:tr w14:paraId="0F5C9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CEECA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Evaluation approach</w:t>
            </w:r>
          </w:p>
        </w:tc>
        <w:tc>
          <w:tcPr>
            <w:tcW w:w="0" w:type="auto"/>
            <w:shd w:val="clear" w:color="auto" w:fill="auto"/>
            <w:vAlign w:val="center"/>
          </w:tcPr>
          <w:p w14:paraId="285BE0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Illustrative — behavioral rather than benchmarked</w:t>
            </w:r>
          </w:p>
        </w:tc>
      </w:tr>
    </w:tbl>
    <w:p w14:paraId="0424EAC6">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fraud rate of 5.3% is intentionally elevated above real-world rates (typically below 1%) to ensure sufficient representation of each fraud pattern for meaningful evaluation — while remaining low enough to preserve a realistic class imbalance challenge. This elevation is a deliberate simulation design choice, not a claim about Nepal's actual fraud prevalence.</w:t>
      </w:r>
    </w:p>
    <w:p w14:paraId="4C098F7D">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194CD96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6.2 Transaction Type Distribution</w:t>
      </w:r>
    </w:p>
    <w:p w14:paraId="14EEB43C">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Transactions are distributed across three context categories, reflecting realistic usage patterns in Nepal's digital payment landscape: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6"/>
        <w:gridCol w:w="730"/>
        <w:gridCol w:w="1193"/>
        <w:gridCol w:w="1535"/>
      </w:tblGrid>
      <w:tr w14:paraId="090B5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BEDED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Transaction Type</w:t>
            </w:r>
          </w:p>
        </w:tc>
        <w:tc>
          <w:tcPr>
            <w:tcW w:w="0" w:type="auto"/>
            <w:shd w:val="clear" w:color="auto" w:fill="auto"/>
            <w:vAlign w:val="center"/>
          </w:tcPr>
          <w:p w14:paraId="541A395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Count</w:t>
            </w:r>
          </w:p>
        </w:tc>
        <w:tc>
          <w:tcPr>
            <w:tcW w:w="0" w:type="auto"/>
            <w:shd w:val="clear" w:color="auto" w:fill="auto"/>
            <w:vAlign w:val="center"/>
          </w:tcPr>
          <w:p w14:paraId="7E6B2C7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Percentage</w:t>
            </w:r>
          </w:p>
        </w:tc>
        <w:tc>
          <w:tcPr>
            <w:tcW w:w="0" w:type="auto"/>
            <w:shd w:val="clear" w:color="auto" w:fill="auto"/>
            <w:vAlign w:val="center"/>
          </w:tcPr>
          <w:p w14:paraId="26E60A6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Context Label</w:t>
            </w:r>
          </w:p>
        </w:tc>
      </w:tr>
      <w:tr w14:paraId="7AD8E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CA227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Remittance</w:t>
            </w:r>
          </w:p>
        </w:tc>
        <w:tc>
          <w:tcPr>
            <w:tcW w:w="0" w:type="auto"/>
            <w:shd w:val="clear" w:color="auto" w:fill="auto"/>
            <w:vAlign w:val="center"/>
          </w:tcPr>
          <w:p w14:paraId="7BD6A5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~1,700</w:t>
            </w:r>
          </w:p>
        </w:tc>
        <w:tc>
          <w:tcPr>
            <w:tcW w:w="0" w:type="auto"/>
            <w:shd w:val="clear" w:color="auto" w:fill="auto"/>
            <w:vAlign w:val="center"/>
          </w:tcPr>
          <w:p w14:paraId="7E2B83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c>
          <w:tcPr>
            <w:tcW w:w="0" w:type="auto"/>
            <w:shd w:val="clear" w:color="auto" w:fill="auto"/>
            <w:vAlign w:val="center"/>
          </w:tcPr>
          <w:p w14:paraId="675685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Remittance</w:t>
            </w:r>
          </w:p>
        </w:tc>
      </w:tr>
      <w:tr w14:paraId="6087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16D4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POS</w:t>
            </w:r>
          </w:p>
        </w:tc>
        <w:tc>
          <w:tcPr>
            <w:tcW w:w="0" w:type="auto"/>
            <w:shd w:val="clear" w:color="auto" w:fill="auto"/>
            <w:vAlign w:val="center"/>
          </w:tcPr>
          <w:p w14:paraId="41A30B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~3,825</w:t>
            </w:r>
          </w:p>
        </w:tc>
        <w:tc>
          <w:tcPr>
            <w:tcW w:w="0" w:type="auto"/>
            <w:shd w:val="clear" w:color="auto" w:fill="auto"/>
            <w:vAlign w:val="center"/>
          </w:tcPr>
          <w:p w14:paraId="5ACEF4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w:t>
            </w:r>
          </w:p>
        </w:tc>
        <w:tc>
          <w:tcPr>
            <w:tcW w:w="0" w:type="auto"/>
            <w:shd w:val="clear" w:color="auto" w:fill="auto"/>
            <w:vAlign w:val="center"/>
          </w:tcPr>
          <w:p w14:paraId="3485AA0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POS</w:t>
            </w:r>
          </w:p>
        </w:tc>
      </w:tr>
      <w:tr w14:paraId="4C8E4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4613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QR Payment</w:t>
            </w:r>
          </w:p>
        </w:tc>
        <w:tc>
          <w:tcPr>
            <w:tcW w:w="0" w:type="auto"/>
            <w:shd w:val="clear" w:color="auto" w:fill="auto"/>
            <w:vAlign w:val="center"/>
          </w:tcPr>
          <w:p w14:paraId="35F0444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~2,975</w:t>
            </w:r>
          </w:p>
        </w:tc>
        <w:tc>
          <w:tcPr>
            <w:tcW w:w="0" w:type="auto"/>
            <w:shd w:val="clear" w:color="auto" w:fill="auto"/>
            <w:vAlign w:val="center"/>
          </w:tcPr>
          <w:p w14:paraId="35ED86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35%</w:t>
            </w:r>
          </w:p>
        </w:tc>
        <w:tc>
          <w:tcPr>
            <w:tcW w:w="0" w:type="auto"/>
            <w:shd w:val="clear" w:color="auto" w:fill="auto"/>
            <w:vAlign w:val="center"/>
          </w:tcPr>
          <w:p w14:paraId="220349F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QR</w:t>
            </w:r>
          </w:p>
        </w:tc>
      </w:tr>
    </w:tbl>
    <w:p w14:paraId="2C9F2EA3">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distribution deliberately overrepresents POS transactions, consistent with their dominance in Nepal's current digital payment activity, and underrepresents remittance to reflect its lower frequency and periodic nature. The context label column reinforces the three-context design that governs weight vector selection in the Synthesis Agent.</w:t>
      </w:r>
    </w:p>
    <w:p w14:paraId="79A46255">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4BF177C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6.3 Fraud Scenario Simulation</w:t>
      </w:r>
    </w:p>
    <w:p w14:paraId="46F29157">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Six distinct fraud patterns are explicitly simulated in the dataset, covering the primary attack vectors identified in Section 1:</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5"/>
        <w:gridCol w:w="1041"/>
        <w:gridCol w:w="1680"/>
        <w:gridCol w:w="3910"/>
      </w:tblGrid>
      <w:tr w14:paraId="4C4C5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137F48F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Fraud Pattern</w:t>
            </w:r>
          </w:p>
        </w:tc>
        <w:tc>
          <w:tcPr>
            <w:tcW w:w="0" w:type="auto"/>
            <w:shd w:val="clear" w:color="auto" w:fill="auto"/>
            <w:vAlign w:val="center"/>
          </w:tcPr>
          <w:p w14:paraId="55B925F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Share of Fraud</w:t>
            </w:r>
          </w:p>
        </w:tc>
        <w:tc>
          <w:tcPr>
            <w:tcW w:w="0" w:type="auto"/>
            <w:shd w:val="clear" w:color="auto" w:fill="auto"/>
            <w:vAlign w:val="center"/>
          </w:tcPr>
          <w:p w14:paraId="649A4E3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Primary Agent(s) Targeted</w:t>
            </w:r>
          </w:p>
        </w:tc>
        <w:tc>
          <w:tcPr>
            <w:tcW w:w="0" w:type="auto"/>
            <w:shd w:val="clear" w:color="auto" w:fill="auto"/>
            <w:vAlign w:val="center"/>
          </w:tcPr>
          <w:p w14:paraId="145C0CA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Simulation Method</w:t>
            </w:r>
          </w:p>
        </w:tc>
      </w:tr>
      <w:tr w14:paraId="27EE5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339A2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Velocity burst attacks</w:t>
            </w:r>
          </w:p>
        </w:tc>
        <w:tc>
          <w:tcPr>
            <w:tcW w:w="0" w:type="auto"/>
            <w:shd w:val="clear" w:color="auto" w:fill="auto"/>
            <w:vAlign w:val="center"/>
          </w:tcPr>
          <w:p w14:paraId="132DFD2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w:t>
            </w:r>
          </w:p>
        </w:tc>
        <w:tc>
          <w:tcPr>
            <w:tcW w:w="0" w:type="auto"/>
            <w:shd w:val="clear" w:color="auto" w:fill="auto"/>
            <w:vAlign w:val="center"/>
          </w:tcPr>
          <w:p w14:paraId="13ECB03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Velocity</w:t>
            </w:r>
          </w:p>
        </w:tc>
        <w:tc>
          <w:tcPr>
            <w:tcW w:w="0" w:type="auto"/>
            <w:shd w:val="clear" w:color="auto" w:fill="auto"/>
            <w:vAlign w:val="center"/>
          </w:tcPr>
          <w:p w14:paraId="3A517E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 transactions within a 1-minute window for a single user</w:t>
            </w:r>
          </w:p>
        </w:tc>
      </w:tr>
      <w:tr w14:paraId="363C5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2D96A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Location anomalies</w:t>
            </w:r>
          </w:p>
        </w:tc>
        <w:tc>
          <w:tcPr>
            <w:tcW w:w="0" w:type="auto"/>
            <w:shd w:val="clear" w:color="auto" w:fill="auto"/>
            <w:vAlign w:val="center"/>
          </w:tcPr>
          <w:p w14:paraId="42F65FE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c>
          <w:tcPr>
            <w:tcW w:w="0" w:type="auto"/>
            <w:shd w:val="clear" w:color="auto" w:fill="auto"/>
            <w:vAlign w:val="center"/>
          </w:tcPr>
          <w:p w14:paraId="749B837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Geo</w:t>
            </w:r>
          </w:p>
        </w:tc>
        <w:tc>
          <w:tcPr>
            <w:tcW w:w="0" w:type="auto"/>
            <w:shd w:val="clear" w:color="auto" w:fill="auto"/>
            <w:vAlign w:val="center"/>
          </w:tcPr>
          <w:p w14:paraId="77CE5B9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Impossible travel scenarios (e.g., Kathmandu → Biratnagar within 10 minutes)</w:t>
            </w:r>
          </w:p>
        </w:tc>
      </w:tr>
      <w:tr w14:paraId="7DD3A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FC09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New merchant exploitation</w:t>
            </w:r>
          </w:p>
        </w:tc>
        <w:tc>
          <w:tcPr>
            <w:tcW w:w="0" w:type="auto"/>
            <w:shd w:val="clear" w:color="auto" w:fill="auto"/>
            <w:vAlign w:val="center"/>
          </w:tcPr>
          <w:p w14:paraId="506D7D7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c>
          <w:tcPr>
            <w:tcW w:w="0" w:type="auto"/>
            <w:shd w:val="clear" w:color="auto" w:fill="auto"/>
            <w:vAlign w:val="center"/>
          </w:tcPr>
          <w:p w14:paraId="4E8AAD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Graph Risk</w:t>
            </w:r>
          </w:p>
        </w:tc>
        <w:tc>
          <w:tcPr>
            <w:tcW w:w="0" w:type="auto"/>
            <w:shd w:val="clear" w:color="auto" w:fill="auto"/>
            <w:vAlign w:val="center"/>
          </w:tcPr>
          <w:p w14:paraId="7D5EB4F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Fraudulent transactions routed through newly created merchant accounts</w:t>
            </w:r>
          </w:p>
        </w:tc>
      </w:tr>
      <w:tr w14:paraId="6925D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ECE38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SIM-swap scenarios</w:t>
            </w:r>
          </w:p>
        </w:tc>
        <w:tc>
          <w:tcPr>
            <w:tcW w:w="0" w:type="auto"/>
            <w:shd w:val="clear" w:color="auto" w:fill="auto"/>
            <w:vAlign w:val="center"/>
          </w:tcPr>
          <w:p w14:paraId="66602C7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w:t>
            </w:r>
          </w:p>
        </w:tc>
        <w:tc>
          <w:tcPr>
            <w:tcW w:w="0" w:type="auto"/>
            <w:shd w:val="clear" w:color="auto" w:fill="auto"/>
            <w:vAlign w:val="center"/>
          </w:tcPr>
          <w:p w14:paraId="70C0C9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Geo + Behavior</w:t>
            </w:r>
          </w:p>
        </w:tc>
        <w:tc>
          <w:tcPr>
            <w:tcW w:w="0" w:type="auto"/>
            <w:shd w:val="clear" w:color="auto" w:fill="auto"/>
            <w:vAlign w:val="center"/>
          </w:tcPr>
          <w:p w14:paraId="7E5B1C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Device mismatch combined with behavioral discontinuity injected simultaneously</w:t>
            </w:r>
          </w:p>
        </w:tc>
      </w:tr>
      <w:tr w14:paraId="106B7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5ABBF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Cold-start exploitation</w:t>
            </w:r>
          </w:p>
        </w:tc>
        <w:tc>
          <w:tcPr>
            <w:tcW w:w="0" w:type="auto"/>
            <w:shd w:val="clear" w:color="auto" w:fill="auto"/>
            <w:vAlign w:val="center"/>
          </w:tcPr>
          <w:p w14:paraId="0ECB82C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c>
          <w:tcPr>
            <w:tcW w:w="0" w:type="auto"/>
            <w:shd w:val="clear" w:color="auto" w:fill="auto"/>
            <w:vAlign w:val="center"/>
          </w:tcPr>
          <w:p w14:paraId="14B22C0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Behavior + Graph Risk</w:t>
            </w:r>
          </w:p>
        </w:tc>
        <w:tc>
          <w:tcPr>
            <w:tcW w:w="0" w:type="auto"/>
            <w:shd w:val="clear" w:color="auto" w:fill="auto"/>
            <w:vAlign w:val="center"/>
          </w:tcPr>
          <w:p w14:paraId="6C419F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Fraudulent transactions inserted within a user's first three transactions</w:t>
            </w:r>
          </w:p>
        </w:tc>
      </w:tr>
      <w:tr w14:paraId="4AA16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98CD6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Amount spikes</w:t>
            </w:r>
          </w:p>
        </w:tc>
        <w:tc>
          <w:tcPr>
            <w:tcW w:w="0" w:type="auto"/>
            <w:shd w:val="clear" w:color="auto" w:fill="auto"/>
            <w:vAlign w:val="center"/>
          </w:tcPr>
          <w:p w14:paraId="05AE90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c>
          <w:tcPr>
            <w:tcW w:w="0" w:type="auto"/>
            <w:shd w:val="clear" w:color="auto" w:fill="auto"/>
            <w:vAlign w:val="center"/>
          </w:tcPr>
          <w:p w14:paraId="0C639E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Behavior</w:t>
            </w:r>
          </w:p>
        </w:tc>
        <w:tc>
          <w:tcPr>
            <w:tcW w:w="0" w:type="auto"/>
            <w:shd w:val="clear" w:color="auto" w:fill="auto"/>
            <w:vAlign w:val="center"/>
          </w:tcPr>
          <w:p w14:paraId="1BDC61C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Sudden large-value transactions outside the user's established normal range</w:t>
            </w:r>
          </w:p>
        </w:tc>
      </w:tr>
    </w:tbl>
    <w:p w14:paraId="111BD704">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Each fraud pattern is designed to stress-test a specific agent or combination of agents, ensuring that the evaluation exercises the full signal space of the framework rather than concentrating on a single detection mechanism.</w:t>
      </w:r>
    </w:p>
    <w:p w14:paraId="00C04359">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52E2C69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6.4 Feature Engineering</w:t>
      </w:r>
    </w:p>
    <w:p w14:paraId="1D1F6D6B">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Features are computed at transaction time from raw transaction metadata and user history. The full feature set used across all agents is summarized below:</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29"/>
        <w:gridCol w:w="1935"/>
        <w:gridCol w:w="3332"/>
      </w:tblGrid>
      <w:tr w14:paraId="3B7D5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75183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Feature</w:t>
            </w:r>
          </w:p>
        </w:tc>
        <w:tc>
          <w:tcPr>
            <w:tcW w:w="0" w:type="auto"/>
            <w:shd w:val="clear" w:color="auto" w:fill="auto"/>
            <w:vAlign w:val="center"/>
          </w:tcPr>
          <w:p w14:paraId="4853FFF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Type</w:t>
            </w:r>
          </w:p>
        </w:tc>
        <w:tc>
          <w:tcPr>
            <w:tcW w:w="0" w:type="auto"/>
            <w:shd w:val="clear" w:color="auto" w:fill="auto"/>
            <w:vAlign w:val="center"/>
          </w:tcPr>
          <w:p w14:paraId="5407BD3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Used By</w:t>
            </w:r>
          </w:p>
        </w:tc>
      </w:tr>
      <w:tr w14:paraId="4AE75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19A46E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Transaction amount</w:t>
            </w:r>
          </w:p>
        </w:tc>
        <w:tc>
          <w:tcPr>
            <w:tcW w:w="0" w:type="auto"/>
            <w:shd w:val="clear" w:color="auto" w:fill="auto"/>
            <w:vAlign w:val="center"/>
          </w:tcPr>
          <w:p w14:paraId="37AA0B4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Continuous</w:t>
            </w:r>
          </w:p>
        </w:tc>
        <w:tc>
          <w:tcPr>
            <w:tcW w:w="0" w:type="auto"/>
            <w:shd w:val="clear" w:color="auto" w:fill="auto"/>
            <w:vAlign w:val="center"/>
          </w:tcPr>
          <w:p w14:paraId="1BCDEB6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Behavior Agent</w:t>
            </w:r>
          </w:p>
        </w:tc>
      </w:tr>
      <w:tr w14:paraId="6E192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AC7C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Hour of day</w:t>
            </w:r>
          </w:p>
        </w:tc>
        <w:tc>
          <w:tcPr>
            <w:tcW w:w="0" w:type="auto"/>
            <w:shd w:val="clear" w:color="auto" w:fill="auto"/>
            <w:vAlign w:val="center"/>
          </w:tcPr>
          <w:p w14:paraId="650EDD5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Continuous (0–23)</w:t>
            </w:r>
          </w:p>
        </w:tc>
        <w:tc>
          <w:tcPr>
            <w:tcW w:w="0" w:type="auto"/>
            <w:shd w:val="clear" w:color="auto" w:fill="auto"/>
            <w:vAlign w:val="center"/>
          </w:tcPr>
          <w:p w14:paraId="07F6274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Behavior Agent</w:t>
            </w:r>
          </w:p>
        </w:tc>
      </w:tr>
      <w:tr w14:paraId="0B039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813BA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Transaction type</w:t>
            </w:r>
          </w:p>
        </w:tc>
        <w:tc>
          <w:tcPr>
            <w:tcW w:w="0" w:type="auto"/>
            <w:shd w:val="clear" w:color="auto" w:fill="auto"/>
            <w:vAlign w:val="center"/>
          </w:tcPr>
          <w:p w14:paraId="3D095D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Categorical</w:t>
            </w:r>
          </w:p>
        </w:tc>
        <w:tc>
          <w:tcPr>
            <w:tcW w:w="0" w:type="auto"/>
            <w:shd w:val="clear" w:color="auto" w:fill="auto"/>
            <w:vAlign w:val="center"/>
          </w:tcPr>
          <w:p w14:paraId="5ECF80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Behavior Agent, Context Classifier</w:t>
            </w:r>
          </w:p>
        </w:tc>
      </w:tr>
      <w:tr w14:paraId="0686A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69A1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Merchant category</w:t>
            </w:r>
          </w:p>
        </w:tc>
        <w:tc>
          <w:tcPr>
            <w:tcW w:w="0" w:type="auto"/>
            <w:shd w:val="clear" w:color="auto" w:fill="auto"/>
            <w:vAlign w:val="center"/>
          </w:tcPr>
          <w:p w14:paraId="4D40E8F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Categorical</w:t>
            </w:r>
          </w:p>
        </w:tc>
        <w:tc>
          <w:tcPr>
            <w:tcW w:w="0" w:type="auto"/>
            <w:shd w:val="clear" w:color="auto" w:fill="auto"/>
            <w:vAlign w:val="center"/>
          </w:tcPr>
          <w:p w14:paraId="13A81C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Behavior Agent, Graph Risk Agent</w:t>
            </w:r>
          </w:p>
        </w:tc>
      </w:tr>
      <w:tr w14:paraId="73306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C5F5F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Transaction count (1 min)</w:t>
            </w:r>
          </w:p>
        </w:tc>
        <w:tc>
          <w:tcPr>
            <w:tcW w:w="0" w:type="auto"/>
            <w:shd w:val="clear" w:color="auto" w:fill="auto"/>
            <w:vAlign w:val="center"/>
          </w:tcPr>
          <w:p w14:paraId="2DD890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Derived — count</w:t>
            </w:r>
          </w:p>
        </w:tc>
        <w:tc>
          <w:tcPr>
            <w:tcW w:w="0" w:type="auto"/>
            <w:shd w:val="clear" w:color="auto" w:fill="auto"/>
            <w:vAlign w:val="center"/>
          </w:tcPr>
          <w:p w14:paraId="31B8C0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Velocity Agent, Behavior Agent</w:t>
            </w:r>
          </w:p>
        </w:tc>
      </w:tr>
      <w:tr w14:paraId="105E0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6AEC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Transaction count (1 hour)</w:t>
            </w:r>
          </w:p>
        </w:tc>
        <w:tc>
          <w:tcPr>
            <w:tcW w:w="0" w:type="auto"/>
            <w:shd w:val="clear" w:color="auto" w:fill="auto"/>
            <w:vAlign w:val="center"/>
          </w:tcPr>
          <w:p w14:paraId="0D40E3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Derived — count</w:t>
            </w:r>
          </w:p>
        </w:tc>
        <w:tc>
          <w:tcPr>
            <w:tcW w:w="0" w:type="auto"/>
            <w:shd w:val="clear" w:color="auto" w:fill="auto"/>
            <w:vAlign w:val="center"/>
          </w:tcPr>
          <w:p w14:paraId="201C56B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Velocity Agent, Behavior Agent</w:t>
            </w:r>
          </w:p>
        </w:tc>
      </w:tr>
      <w:tr w14:paraId="5CC88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C0A5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Transaction count (24 hours)</w:t>
            </w:r>
          </w:p>
        </w:tc>
        <w:tc>
          <w:tcPr>
            <w:tcW w:w="0" w:type="auto"/>
            <w:shd w:val="clear" w:color="auto" w:fill="auto"/>
            <w:vAlign w:val="center"/>
          </w:tcPr>
          <w:p w14:paraId="0CD20B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Derived — count</w:t>
            </w:r>
          </w:p>
        </w:tc>
        <w:tc>
          <w:tcPr>
            <w:tcW w:w="0" w:type="auto"/>
            <w:shd w:val="clear" w:color="auto" w:fill="auto"/>
            <w:vAlign w:val="center"/>
          </w:tcPr>
          <w:p w14:paraId="447311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Velocity Agent</w:t>
            </w:r>
          </w:p>
        </w:tc>
      </w:tr>
      <w:tr w14:paraId="79FE2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2AED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Location deviation</w:t>
            </w:r>
          </w:p>
        </w:tc>
        <w:tc>
          <w:tcPr>
            <w:tcW w:w="0" w:type="auto"/>
            <w:shd w:val="clear" w:color="auto" w:fill="auto"/>
            <w:vAlign w:val="center"/>
          </w:tcPr>
          <w:p w14:paraId="332BAA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Derived — distance</w:t>
            </w:r>
          </w:p>
        </w:tc>
        <w:tc>
          <w:tcPr>
            <w:tcW w:w="0" w:type="auto"/>
            <w:shd w:val="clear" w:color="auto" w:fill="auto"/>
            <w:vAlign w:val="center"/>
          </w:tcPr>
          <w:p w14:paraId="5972A60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Geo Agent</w:t>
            </w:r>
          </w:p>
        </w:tc>
      </w:tr>
      <w:tr w14:paraId="57AA0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4818E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Device mismatch flag</w:t>
            </w:r>
          </w:p>
        </w:tc>
        <w:tc>
          <w:tcPr>
            <w:tcW w:w="0" w:type="auto"/>
            <w:shd w:val="clear" w:color="auto" w:fill="auto"/>
            <w:vAlign w:val="center"/>
          </w:tcPr>
          <w:p w14:paraId="066DAEF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Binary</w:t>
            </w:r>
          </w:p>
        </w:tc>
        <w:tc>
          <w:tcPr>
            <w:tcW w:w="0" w:type="auto"/>
            <w:shd w:val="clear" w:color="auto" w:fill="auto"/>
            <w:vAlign w:val="center"/>
          </w:tcPr>
          <w:p w14:paraId="5BA3AA8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Geo Agent</w:t>
            </w:r>
          </w:p>
        </w:tc>
      </w:tr>
      <w:tr w14:paraId="370A6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A1D05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User–merchant interaction count</w:t>
            </w:r>
          </w:p>
        </w:tc>
        <w:tc>
          <w:tcPr>
            <w:tcW w:w="0" w:type="auto"/>
            <w:shd w:val="clear" w:color="auto" w:fill="auto"/>
            <w:vAlign w:val="center"/>
          </w:tcPr>
          <w:p w14:paraId="11F0BF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Derived — count</w:t>
            </w:r>
          </w:p>
        </w:tc>
        <w:tc>
          <w:tcPr>
            <w:tcW w:w="0" w:type="auto"/>
            <w:shd w:val="clear" w:color="auto" w:fill="auto"/>
            <w:vAlign w:val="center"/>
          </w:tcPr>
          <w:p w14:paraId="5202D8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Graph Risk Agent</w:t>
            </w:r>
          </w:p>
        </w:tc>
      </w:tr>
      <w:tr w14:paraId="5EF0C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ED808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Merchant transaction frequency</w:t>
            </w:r>
          </w:p>
        </w:tc>
        <w:tc>
          <w:tcPr>
            <w:tcW w:w="0" w:type="auto"/>
            <w:shd w:val="clear" w:color="auto" w:fill="auto"/>
            <w:vAlign w:val="center"/>
          </w:tcPr>
          <w:p w14:paraId="72C4F3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Derived — count</w:t>
            </w:r>
          </w:p>
        </w:tc>
        <w:tc>
          <w:tcPr>
            <w:tcW w:w="0" w:type="auto"/>
            <w:shd w:val="clear" w:color="auto" w:fill="auto"/>
            <w:vAlign w:val="center"/>
          </w:tcPr>
          <w:p w14:paraId="368A6A9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Graph Risk Agent</w:t>
            </w:r>
          </w:p>
        </w:tc>
      </w:tr>
      <w:tr w14:paraId="5BFE5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2F15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Merchant unique user count</w:t>
            </w:r>
          </w:p>
        </w:tc>
        <w:tc>
          <w:tcPr>
            <w:tcW w:w="0" w:type="auto"/>
            <w:shd w:val="clear" w:color="auto" w:fill="auto"/>
            <w:vAlign w:val="center"/>
          </w:tcPr>
          <w:p w14:paraId="0128C9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Derived — count</w:t>
            </w:r>
          </w:p>
        </w:tc>
        <w:tc>
          <w:tcPr>
            <w:tcW w:w="0" w:type="auto"/>
            <w:shd w:val="clear" w:color="auto" w:fill="auto"/>
            <w:vAlign w:val="center"/>
          </w:tcPr>
          <w:p w14:paraId="7FEB84D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Graph Risk Agent</w:t>
            </w:r>
          </w:p>
        </w:tc>
      </w:tr>
    </w:tbl>
    <w:p w14:paraId="3E7FE68D">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All continuous features are normalized to [0,1][0, 1] [0,1] prior to model input. Categorical features are label-encoded for the Isolation Forest and used directly for rule-based agents.</w:t>
      </w:r>
    </w:p>
    <w:p w14:paraId="07A59340">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5C213A2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6.5 Experimental Protocol</w:t>
      </w:r>
    </w:p>
    <w:p w14:paraId="5F91F59A">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Behavior Agent Training:</w:t>
      </w:r>
      <w:r>
        <w:rPr>
          <w:rFonts w:hint="default" w:ascii="Times New Roman" w:hAnsi="Times New Roman" w:cs="Times New Roman"/>
          <w:sz w:val="24"/>
          <w:szCs w:val="24"/>
        </w:rPr>
        <w:t xml:space="preserve"> The Isolation Forest is trained unsupervised on the </w:t>
      </w:r>
      <w:r>
        <w:rPr>
          <w:rStyle w:val="10"/>
          <w:rFonts w:hint="default" w:ascii="Times New Roman" w:hAnsi="Times New Roman" w:cs="Times New Roman"/>
          <w:sz w:val="24"/>
          <w:szCs w:val="24"/>
        </w:rPr>
        <w:t>70% training partition</w:t>
      </w:r>
      <w:r>
        <w:rPr>
          <w:rFonts w:hint="default" w:ascii="Times New Roman" w:hAnsi="Times New Roman" w:cs="Times New Roman"/>
          <w:sz w:val="24"/>
          <w:szCs w:val="24"/>
        </w:rPr>
        <w:t>, comprising non-fraudulent transactions from users with established behavioral histories. Cold-start users are excluded from training to prevent contamination of the behavioral baseline — their transactions appear only in the test partition.</w:t>
      </w:r>
    </w:p>
    <w:p w14:paraId="26897293">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resulting split is structured as follows: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6"/>
        <w:gridCol w:w="4912"/>
        <w:gridCol w:w="1938"/>
      </w:tblGrid>
      <w:tr w14:paraId="1C481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DA39EB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Partition</w:t>
            </w:r>
          </w:p>
        </w:tc>
        <w:tc>
          <w:tcPr>
            <w:tcW w:w="0" w:type="auto"/>
            <w:shd w:val="clear" w:color="auto" w:fill="auto"/>
            <w:vAlign w:val="center"/>
          </w:tcPr>
          <w:p w14:paraId="6FFA3CA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Composition</w:t>
            </w:r>
          </w:p>
        </w:tc>
        <w:tc>
          <w:tcPr>
            <w:tcW w:w="0" w:type="auto"/>
            <w:shd w:val="clear" w:color="auto" w:fill="auto"/>
            <w:vAlign w:val="center"/>
          </w:tcPr>
          <w:p w14:paraId="50CD5FB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Approximate Size</w:t>
            </w:r>
          </w:p>
        </w:tc>
      </w:tr>
      <w:tr w14:paraId="6069E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A6F8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Training (70%)</w:t>
            </w:r>
          </w:p>
        </w:tc>
        <w:tc>
          <w:tcPr>
            <w:tcW w:w="0" w:type="auto"/>
            <w:shd w:val="clear" w:color="auto" w:fill="auto"/>
            <w:vAlign w:val="center"/>
          </w:tcPr>
          <w:p w14:paraId="11A95B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Non-fraudulent, established users only</w:t>
            </w:r>
          </w:p>
        </w:tc>
        <w:tc>
          <w:tcPr>
            <w:tcW w:w="0" w:type="auto"/>
            <w:shd w:val="clear" w:color="auto" w:fill="auto"/>
            <w:vAlign w:val="center"/>
          </w:tcPr>
          <w:p w14:paraId="15448C9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~5,950 transactions</w:t>
            </w:r>
          </w:p>
        </w:tc>
      </w:tr>
      <w:tr w14:paraId="3C21A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2C9C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(30%)</w:t>
            </w:r>
          </w:p>
        </w:tc>
        <w:tc>
          <w:tcPr>
            <w:tcW w:w="0" w:type="auto"/>
            <w:shd w:val="clear" w:color="auto" w:fill="auto"/>
            <w:vAlign w:val="center"/>
          </w:tcPr>
          <w:p w14:paraId="30C748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All users, all transaction types, fraud and legitimate</w:t>
            </w:r>
          </w:p>
        </w:tc>
        <w:tc>
          <w:tcPr>
            <w:tcW w:w="0" w:type="auto"/>
            <w:shd w:val="clear" w:color="auto" w:fill="auto"/>
            <w:vAlign w:val="center"/>
          </w:tcPr>
          <w:p w14:paraId="525016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~2,550 transactions</w:t>
            </w:r>
          </w:p>
        </w:tc>
      </w:tr>
    </w:tbl>
    <w:p w14:paraId="68A2FFE9">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Note that the training set is drawn from the 70% partition after excluding cold-start user records, so the effective training size is slightly below the nominal 70% figure. Fraud labels are not used during training — they are reserved exclusively for post-hoc evaluation.</w:t>
      </w:r>
    </w:p>
    <w:p w14:paraId="6F1F46EA">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Cold-Start Evaluation:</w:t>
      </w:r>
      <w:r>
        <w:rPr>
          <w:rFonts w:hint="default" w:ascii="Times New Roman" w:hAnsi="Times New Roman" w:cs="Times New Roman"/>
          <w:sz w:val="24"/>
          <w:szCs w:val="24"/>
        </w:rPr>
        <w:t>Cold-start users — defined as users within their first three transactions — are excluded from training. In the test set, they are evaluated using the cold-start defaults from Section 5.1: a fixed behavior score of β=0.5\beta = 0.5 β=0.5 replaces the Isolation Forest output, and velocity thresholds are tightened via multiplier γ\gamma γ. This ensures evaluation reflects real deployment conditions rather than an idealized scenario where all users have established histories.</w:t>
      </w:r>
    </w:p>
    <w:p w14:paraId="782D3117">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Rule-Based Agents:</w:t>
      </w:r>
      <w:r>
        <w:rPr>
          <w:rFonts w:hint="default" w:ascii="Times New Roman" w:hAnsi="Times New Roman" w:cs="Times New Roman"/>
          <w:sz w:val="24"/>
          <w:szCs w:val="24"/>
        </w:rPr>
        <w:t xml:space="preserve"> The Velocity, Geo, and Graph-inspired Risk Agents are fully rule-based and require no training. They are applied directly at inference time across the full dataset using the configurations described in Section 4.</w:t>
      </w:r>
    </w:p>
    <w:p w14:paraId="74A90580">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Synthesis and Decision Evaluation:</w:t>
      </w:r>
      <w:r>
        <w:rPr>
          <w:rFonts w:hint="default" w:ascii="Times New Roman" w:hAnsi="Times New Roman" w:cs="Times New Roman"/>
          <w:sz w:val="24"/>
          <w:szCs w:val="24"/>
        </w:rPr>
        <w:t>The Synthesis Agent and OTP Interlock are evaluated across the full test partition. For each transaction, the composite score RR R is computed using the appropriate context-specific weight vector. The score is then mapped to a decision tier — Approve, Single OTP, Dual OTP, or Block — via the context-shifted threshold tables in Section 4.6.</w:t>
      </w:r>
    </w:p>
    <w:p w14:paraId="1039042F">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Evaluation metrics are computed by comparing the </w:t>
      </w:r>
      <w:r>
        <w:rPr>
          <w:rStyle w:val="10"/>
          <w:rFonts w:hint="default" w:ascii="Times New Roman" w:hAnsi="Times New Roman" w:cs="Times New Roman"/>
          <w:sz w:val="24"/>
          <w:szCs w:val="24"/>
        </w:rPr>
        <w:t>final decision tier</w:t>
      </w:r>
      <w:r>
        <w:rPr>
          <w:rFonts w:hint="default" w:ascii="Times New Roman" w:hAnsi="Times New Roman" w:cs="Times New Roman"/>
          <w:sz w:val="24"/>
          <w:szCs w:val="24"/>
        </w:rPr>
        <w:t xml:space="preserve"> against ground-truth fraud labels, with escalated tiers (Single OTP, Dual OTP, Block) treated collectively as positive detections and Approve treated as negative. This decision-level evaluation reflects real operational behavior — what matters in deployment is the action taken, not the raw score.</w:t>
      </w:r>
    </w:p>
    <w:p w14:paraId="599823F0">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Evaluation Metrics:</w:t>
      </w:r>
      <w:r>
        <w:rPr>
          <w:rFonts w:hint="default" w:ascii="Times New Roman" w:hAnsi="Times New Roman" w:cs="Times New Roman"/>
          <w:sz w:val="24"/>
          <w:szCs w:val="24"/>
        </w:rPr>
        <w:t xml:space="preserve"> The following metrics are reported against decision-tier outputs:</w:t>
      </w:r>
    </w:p>
    <w:p w14:paraId="6FC8092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Precision</w:t>
      </w:r>
      <w:r>
        <w:rPr>
          <w:rFonts w:hint="default" w:ascii="Times New Roman" w:hAnsi="Times New Roman" w:cs="Times New Roman"/>
          <w:sz w:val="24"/>
          <w:szCs w:val="24"/>
        </w:rPr>
        <w:t xml:space="preserve"> — of all escalated transactions (OTP or Block), what proportion are genuinely fraudulent</w:t>
      </w:r>
    </w:p>
    <w:p w14:paraId="4980837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Recall</w:t>
      </w:r>
      <w:r>
        <w:rPr>
          <w:rFonts w:hint="default" w:ascii="Times New Roman" w:hAnsi="Times New Roman" w:cs="Times New Roman"/>
          <w:sz w:val="24"/>
          <w:szCs w:val="24"/>
        </w:rPr>
        <w:t xml:space="preserve"> — of all fraudulent transactions, what proportion are correctly escalated beyond Approve</w:t>
      </w:r>
    </w:p>
    <w:p w14:paraId="23CF78E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False Positive Rate (FPR)</w:t>
      </w:r>
      <w:r>
        <w:rPr>
          <w:rFonts w:hint="default" w:ascii="Times New Roman" w:hAnsi="Times New Roman" w:cs="Times New Roman"/>
          <w:sz w:val="24"/>
          <w:szCs w:val="24"/>
        </w:rPr>
        <w:t xml:space="preserve"> — of all legitimate transactions, what proportion are incorrectly escalated to OTP or Block</w:t>
      </w:r>
    </w:p>
    <w:p w14:paraId="580E2F3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Decision Distribution</w:t>
      </w:r>
      <w:r>
        <w:rPr>
          <w:rFonts w:hint="default" w:ascii="Times New Roman" w:hAnsi="Times New Roman" w:cs="Times New Roman"/>
          <w:sz w:val="24"/>
          <w:szCs w:val="24"/>
        </w:rPr>
        <w:t xml:space="preserve"> — breakdown of Approve / Single OTP / Dual OTP / Block across the test partition, reported per transaction context</w:t>
      </w:r>
    </w:p>
    <w:p w14:paraId="096E40D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2EAB89B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6.6 Limitations and Honest Framing</w:t>
      </w:r>
    </w:p>
    <w:p w14:paraId="71E05A58">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synthetic nature of the dataset introduces several limitations that should be acknowledged:</w:t>
      </w:r>
    </w:p>
    <w:p w14:paraId="14B9800B">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Distributional assumptions:</w:t>
      </w:r>
      <w:r>
        <w:rPr>
          <w:rFonts w:hint="default" w:ascii="Times New Roman" w:hAnsi="Times New Roman" w:cs="Times New Roman"/>
          <w:sz w:val="24"/>
          <w:szCs w:val="24"/>
        </w:rPr>
        <w:t xml:space="preserve"> User behavioral distributions are hand-crafted based on domain knowledge rather than derived from real transaction logs. Patterns present in real fraud data — such as adversarial adaptation to detection systems — are not captured.</w:t>
      </w:r>
    </w:p>
    <w:p w14:paraId="3DE032AE">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Fraud label clarity:</w:t>
      </w:r>
      <w:r>
        <w:rPr>
          <w:rFonts w:hint="default" w:ascii="Times New Roman" w:hAnsi="Times New Roman" w:cs="Times New Roman"/>
          <w:sz w:val="24"/>
          <w:szCs w:val="24"/>
        </w:rPr>
        <w:t xml:space="preserve"> In production systems, fraud labels are noisy, delayed, and incomplete. The synthetic dataset uses clean, instantaneous labels that represent an optimistic evaluation condition.</w:t>
      </w:r>
    </w:p>
    <w:p w14:paraId="3D4CC80C">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Generalizability:</w:t>
      </w:r>
      <w:r>
        <w:rPr>
          <w:rFonts w:hint="default" w:ascii="Times New Roman" w:hAnsi="Times New Roman" w:cs="Times New Roman"/>
          <w:sz w:val="24"/>
          <w:szCs w:val="24"/>
        </w:rPr>
        <w:t xml:space="preserve"> Results should be interpreted as proof-of-concept behavioral validation rather than production performance estimates. Real-world deployment would require calibration against live transaction data and iterative threshold tuning.</w:t>
      </w:r>
    </w:p>
    <w:p w14:paraId="0925DE1E">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Computational environment:</w:t>
      </w:r>
      <w:r>
        <w:rPr>
          <w:rFonts w:hint="default" w:ascii="Times New Roman" w:hAnsi="Times New Roman" w:cs="Times New Roman"/>
          <w:sz w:val="24"/>
          <w:szCs w:val="24"/>
        </w:rPr>
        <w:t xml:space="preserve"> All experiments were conducted on a standard consumer-grade laptop (16GB RAM, no GPU), demonstrating that the framework's sub-second latency target is achievable without specialized infrastructure — a critical requirement for deployment in low-resource financial environments.</w:t>
      </w:r>
    </w:p>
    <w:p w14:paraId="4EEEA7FC">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These limitations are consistent with the framework's design intent — which prioritizes architectural soundness, interpretability, and deployability over optimized benchmark performance.</w:t>
      </w:r>
    </w:p>
    <w:p w14:paraId="38B0368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68486DA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Diagram Suggestion</w:t>
      </w:r>
    </w:p>
    <w:p w14:paraId="6F98D212">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Table 2 — Agent Coverage by Fraud Pattern:</w:t>
      </w:r>
      <w:r>
        <w:rPr>
          <w:rFonts w:hint="default" w:ascii="Times New Roman" w:hAnsi="Times New Roman" w:cs="Times New Roman"/>
          <w:sz w:val="24"/>
          <w:szCs w:val="24"/>
        </w:rPr>
        <w:t xml:space="preserve"> The table below maps each simulated fraud pattern to the agents it primarily exercises. This confirms that the dataset evaluation covers the full agent signal space and that no agent is left untested: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88"/>
        <w:gridCol w:w="1134"/>
        <w:gridCol w:w="1134"/>
        <w:gridCol w:w="1134"/>
        <w:gridCol w:w="1268"/>
        <w:gridCol w:w="1036"/>
      </w:tblGrid>
      <w:tr w14:paraId="1FBFC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61DF4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Fraud Pattern</w:t>
            </w:r>
          </w:p>
        </w:tc>
        <w:tc>
          <w:tcPr>
            <w:tcW w:w="0" w:type="auto"/>
            <w:shd w:val="clear" w:color="auto" w:fill="auto"/>
            <w:vAlign w:val="center"/>
          </w:tcPr>
          <w:p w14:paraId="5CA597D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Velocity</w:t>
            </w:r>
          </w:p>
        </w:tc>
        <w:tc>
          <w:tcPr>
            <w:tcW w:w="0" w:type="auto"/>
            <w:shd w:val="clear" w:color="auto" w:fill="auto"/>
            <w:vAlign w:val="center"/>
          </w:tcPr>
          <w:p w14:paraId="4507B4B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Geo</w:t>
            </w:r>
          </w:p>
        </w:tc>
        <w:tc>
          <w:tcPr>
            <w:tcW w:w="0" w:type="auto"/>
            <w:shd w:val="clear" w:color="auto" w:fill="auto"/>
            <w:vAlign w:val="center"/>
          </w:tcPr>
          <w:p w14:paraId="1F09D14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Behavior</w:t>
            </w:r>
          </w:p>
        </w:tc>
        <w:tc>
          <w:tcPr>
            <w:tcW w:w="0" w:type="auto"/>
            <w:shd w:val="clear" w:color="auto" w:fill="auto"/>
            <w:vAlign w:val="center"/>
          </w:tcPr>
          <w:p w14:paraId="2EB92EA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Graph Risk</w:t>
            </w:r>
          </w:p>
        </w:tc>
        <w:tc>
          <w:tcPr>
            <w:tcW w:w="0" w:type="auto"/>
            <w:shd w:val="clear" w:color="auto" w:fill="auto"/>
            <w:vAlign w:val="center"/>
          </w:tcPr>
          <w:p w14:paraId="266EF7D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Synthesis</w:t>
            </w:r>
          </w:p>
        </w:tc>
      </w:tr>
      <w:tr w14:paraId="134E1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F515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Velocity bursts</w:t>
            </w:r>
          </w:p>
        </w:tc>
        <w:tc>
          <w:tcPr>
            <w:tcW w:w="0" w:type="auto"/>
            <w:shd w:val="clear" w:color="auto" w:fill="auto"/>
            <w:vAlign w:val="center"/>
          </w:tcPr>
          <w:p w14:paraId="7280E73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Primary</w:t>
            </w:r>
          </w:p>
        </w:tc>
        <w:tc>
          <w:tcPr>
            <w:tcW w:w="0" w:type="auto"/>
            <w:shd w:val="clear" w:color="auto" w:fill="auto"/>
            <w:vAlign w:val="center"/>
          </w:tcPr>
          <w:p w14:paraId="0F15D5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1766B2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Secondary</w:t>
            </w:r>
          </w:p>
        </w:tc>
        <w:tc>
          <w:tcPr>
            <w:tcW w:w="0" w:type="auto"/>
            <w:shd w:val="clear" w:color="auto" w:fill="auto"/>
            <w:vAlign w:val="center"/>
          </w:tcPr>
          <w:p w14:paraId="6D8135C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1E2722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00787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9C23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Location anomalies</w:t>
            </w:r>
          </w:p>
        </w:tc>
        <w:tc>
          <w:tcPr>
            <w:tcW w:w="0" w:type="auto"/>
            <w:shd w:val="clear" w:color="auto" w:fill="auto"/>
            <w:vAlign w:val="center"/>
          </w:tcPr>
          <w:p w14:paraId="391A50A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07E9FC4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Primary</w:t>
            </w:r>
          </w:p>
        </w:tc>
        <w:tc>
          <w:tcPr>
            <w:tcW w:w="0" w:type="auto"/>
            <w:shd w:val="clear" w:color="auto" w:fill="auto"/>
            <w:vAlign w:val="center"/>
          </w:tcPr>
          <w:p w14:paraId="23F98E0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727FD12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33A42E1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06D7F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FAAB3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New merchant exploitation</w:t>
            </w:r>
          </w:p>
        </w:tc>
        <w:tc>
          <w:tcPr>
            <w:tcW w:w="0" w:type="auto"/>
            <w:shd w:val="clear" w:color="auto" w:fill="auto"/>
            <w:vAlign w:val="center"/>
          </w:tcPr>
          <w:p w14:paraId="437EFC7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068F7BB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5FA2D0E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Secondary</w:t>
            </w:r>
          </w:p>
        </w:tc>
        <w:tc>
          <w:tcPr>
            <w:tcW w:w="0" w:type="auto"/>
            <w:shd w:val="clear" w:color="auto" w:fill="auto"/>
            <w:vAlign w:val="center"/>
          </w:tcPr>
          <w:p w14:paraId="1584E7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Primary</w:t>
            </w:r>
          </w:p>
        </w:tc>
        <w:tc>
          <w:tcPr>
            <w:tcW w:w="0" w:type="auto"/>
            <w:shd w:val="clear" w:color="auto" w:fill="auto"/>
            <w:vAlign w:val="center"/>
          </w:tcPr>
          <w:p w14:paraId="21883DE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2F813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92D94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SIM-swap scenarios</w:t>
            </w:r>
          </w:p>
        </w:tc>
        <w:tc>
          <w:tcPr>
            <w:tcW w:w="0" w:type="auto"/>
            <w:shd w:val="clear" w:color="auto" w:fill="auto"/>
            <w:vAlign w:val="center"/>
          </w:tcPr>
          <w:p w14:paraId="68D49D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55454F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Primary</w:t>
            </w:r>
          </w:p>
        </w:tc>
        <w:tc>
          <w:tcPr>
            <w:tcW w:w="0" w:type="auto"/>
            <w:shd w:val="clear" w:color="auto" w:fill="auto"/>
            <w:vAlign w:val="center"/>
          </w:tcPr>
          <w:p w14:paraId="7DAACED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Primary</w:t>
            </w:r>
          </w:p>
        </w:tc>
        <w:tc>
          <w:tcPr>
            <w:tcW w:w="0" w:type="auto"/>
            <w:shd w:val="clear" w:color="auto" w:fill="auto"/>
            <w:vAlign w:val="center"/>
          </w:tcPr>
          <w:p w14:paraId="00EE27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2686356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7083C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055E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Cold-start exploitation</w:t>
            </w:r>
          </w:p>
        </w:tc>
        <w:tc>
          <w:tcPr>
            <w:tcW w:w="0" w:type="auto"/>
            <w:shd w:val="clear" w:color="auto" w:fill="auto"/>
            <w:vAlign w:val="center"/>
          </w:tcPr>
          <w:p w14:paraId="66B13DE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Secondary</w:t>
            </w:r>
          </w:p>
        </w:tc>
        <w:tc>
          <w:tcPr>
            <w:tcW w:w="0" w:type="auto"/>
            <w:shd w:val="clear" w:color="auto" w:fill="auto"/>
            <w:vAlign w:val="center"/>
          </w:tcPr>
          <w:p w14:paraId="5EF051E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Secondary</w:t>
            </w:r>
          </w:p>
        </w:tc>
        <w:tc>
          <w:tcPr>
            <w:tcW w:w="0" w:type="auto"/>
            <w:shd w:val="clear" w:color="auto" w:fill="auto"/>
            <w:vAlign w:val="center"/>
          </w:tcPr>
          <w:p w14:paraId="6C06C8B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Primary</w:t>
            </w:r>
          </w:p>
        </w:tc>
        <w:tc>
          <w:tcPr>
            <w:tcW w:w="0" w:type="auto"/>
            <w:shd w:val="clear" w:color="auto" w:fill="auto"/>
            <w:vAlign w:val="center"/>
          </w:tcPr>
          <w:p w14:paraId="4754A27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Primary</w:t>
            </w:r>
          </w:p>
        </w:tc>
        <w:tc>
          <w:tcPr>
            <w:tcW w:w="0" w:type="auto"/>
            <w:shd w:val="clear" w:color="auto" w:fill="auto"/>
            <w:vAlign w:val="center"/>
          </w:tcPr>
          <w:p w14:paraId="45E3B84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69339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E6296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Amount spikes</w:t>
            </w:r>
          </w:p>
        </w:tc>
        <w:tc>
          <w:tcPr>
            <w:tcW w:w="0" w:type="auto"/>
            <w:shd w:val="clear" w:color="auto" w:fill="auto"/>
            <w:vAlign w:val="center"/>
          </w:tcPr>
          <w:p w14:paraId="1FBD6B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2C63E0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3BB2EDE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Primary</w:t>
            </w:r>
          </w:p>
        </w:tc>
        <w:tc>
          <w:tcPr>
            <w:tcW w:w="0" w:type="auto"/>
            <w:shd w:val="clear" w:color="auto" w:fill="auto"/>
            <w:vAlign w:val="center"/>
          </w:tcPr>
          <w:p w14:paraId="346616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5CA406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bl>
    <w:p w14:paraId="33387AC3">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8A3C47"/>
    <w:multiLevelType w:val="multilevel"/>
    <w:tmpl w:val="118A3C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89C46B9"/>
    <w:multiLevelType w:val="multilevel"/>
    <w:tmpl w:val="189C46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971743B"/>
    <w:multiLevelType w:val="multilevel"/>
    <w:tmpl w:val="197174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1E965AD3"/>
    <w:multiLevelType w:val="multilevel"/>
    <w:tmpl w:val="1E965A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034FBEC"/>
    <w:multiLevelType w:val="multilevel"/>
    <w:tmpl w:val="3034FB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DF7DD9"/>
    <w:rsid w:val="06622652"/>
    <w:rsid w:val="13523AE5"/>
    <w:rsid w:val="3A430524"/>
    <w:rsid w:val="4525543C"/>
    <w:rsid w:val="4AD5394D"/>
    <w:rsid w:val="4E2912CA"/>
    <w:rsid w:val="64DF7DD9"/>
    <w:rsid w:val="74292931"/>
    <w:rsid w:val="7AB96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1398</Words>
  <Characters>9399</Characters>
  <Lines>0</Lines>
  <Paragraphs>0</Paragraphs>
  <TotalTime>23</TotalTime>
  <ScaleCrop>false</ScaleCrop>
  <LinksUpToDate>false</LinksUpToDate>
  <CharactersWithSpaces>10759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2026-04-26T04:07:00Z</dcterms:created>
  <dc:creator>aaros</dc:creator>
  <cp:lastModifiedBy>aaros</cp:lastModifiedBy>
  <dcterms:modified xsi:type="dcterms:W3CDTF">2026-04-26T08:30:03Z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6553EE1858164E01913378A0FE7A736F_11</vt:lpwstr>
  </property>
  <property fmtid="{D5CDD505-2E9C-101B-9397-08002B2CF9AE}" pid="4" name="KSOTemplateDocerSaveRecord">
    <vt:lpwstr>eyJoZGlkIjoiMjYyZmZlM2RiNzNkODYzMmRmMzE4MjFlOTcxMTVjYTIiLCJ1c2VySWQiOiI0OTY1NTYwMDYzNDUyIn0=</vt:lpwstr>
  </property>
</Properties>
</file>