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26" w:rsidRDefault="00E71826" w:rsidP="00E71826">
      <w:pPr>
        <w:spacing w:before="60" w:after="60"/>
        <w:ind w:left="-270"/>
        <w:jc w:val="center"/>
        <w:rPr>
          <w:rFonts w:ascii="Times New Roman" w:hAnsi="Times New Roman"/>
          <w:b/>
          <w:bCs/>
          <w:sz w:val="24"/>
          <w:szCs w:val="24"/>
        </w:rPr>
      </w:pPr>
      <w:r w:rsidRPr="00C24CE2">
        <w:rPr>
          <w:rFonts w:ascii="Times New Roman" w:hAnsi="Times New Roman"/>
          <w:b/>
          <w:bCs/>
          <w:sz w:val="24"/>
          <w:szCs w:val="24"/>
        </w:rPr>
        <w:t xml:space="preserve">BIRLA INSTITUTE OF TECHNOLOGY AND SCIENCE </w:t>
      </w:r>
      <w:r>
        <w:rPr>
          <w:rFonts w:ascii="Times New Roman" w:hAnsi="Times New Roman"/>
          <w:b/>
          <w:bCs/>
          <w:sz w:val="24"/>
          <w:szCs w:val="24"/>
        </w:rPr>
        <w:t>–</w:t>
      </w:r>
      <w:r w:rsidRPr="00C24CE2">
        <w:rPr>
          <w:rFonts w:ascii="Times New Roman" w:hAnsi="Times New Roman"/>
          <w:b/>
          <w:bCs/>
          <w:sz w:val="24"/>
          <w:szCs w:val="24"/>
        </w:rPr>
        <w:t xml:space="preserve"> PILANI</w:t>
      </w:r>
    </w:p>
    <w:p w:rsidR="00E71826" w:rsidRPr="00C24CE2" w:rsidRDefault="00E71826" w:rsidP="00E71826">
      <w:pPr>
        <w:spacing w:before="60" w:after="60"/>
        <w:ind w:left="2880" w:firstLine="720"/>
        <w:rPr>
          <w:rFonts w:ascii="Times New Roman" w:hAnsi="Times New Roman"/>
          <w:b/>
          <w:bCs/>
          <w:sz w:val="24"/>
          <w:szCs w:val="24"/>
        </w:rPr>
      </w:pPr>
      <w:r w:rsidRPr="00C24CE2">
        <w:rPr>
          <w:rFonts w:ascii="Times New Roman" w:hAnsi="Times New Roman"/>
          <w:b/>
          <w:sz w:val="24"/>
          <w:szCs w:val="24"/>
        </w:rPr>
        <w:t>HYDERABAD CAMPUS</w:t>
      </w:r>
    </w:p>
    <w:p w:rsidR="00E71826" w:rsidRDefault="00E71826" w:rsidP="00E71826">
      <w:pPr>
        <w:pStyle w:val="NoSpacing"/>
        <w:jc w:val="center"/>
        <w:rPr>
          <w:b/>
          <w:sz w:val="24"/>
          <w:szCs w:val="24"/>
        </w:rPr>
      </w:pPr>
    </w:p>
    <w:p w:rsidR="00E71826" w:rsidRPr="008D630F" w:rsidRDefault="00FA6571" w:rsidP="00E71826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Second</w:t>
      </w:r>
      <w:r w:rsidR="00E71826">
        <w:rPr>
          <w:b/>
          <w:sz w:val="24"/>
          <w:szCs w:val="24"/>
        </w:rPr>
        <w:t xml:space="preserve"> </w:t>
      </w:r>
      <w:r w:rsidR="00E71826" w:rsidRPr="008D630F">
        <w:rPr>
          <w:b/>
          <w:sz w:val="24"/>
          <w:szCs w:val="24"/>
        </w:rPr>
        <w:t>SEMESTER 201</w:t>
      </w:r>
      <w:r>
        <w:rPr>
          <w:b/>
          <w:sz w:val="24"/>
          <w:szCs w:val="24"/>
        </w:rPr>
        <w:t>8</w:t>
      </w:r>
      <w:r w:rsidR="00E71826" w:rsidRPr="008D630F">
        <w:rPr>
          <w:b/>
          <w:sz w:val="24"/>
          <w:szCs w:val="24"/>
        </w:rPr>
        <w:t>-201</w:t>
      </w:r>
      <w:r>
        <w:rPr>
          <w:b/>
          <w:sz w:val="24"/>
          <w:szCs w:val="24"/>
        </w:rPr>
        <w:t>9</w:t>
      </w:r>
    </w:p>
    <w:p w:rsidR="00E71826" w:rsidRPr="008D630F" w:rsidRDefault="00E71826" w:rsidP="00E71826">
      <w:pPr>
        <w:pStyle w:val="NoSpacing"/>
        <w:jc w:val="center"/>
        <w:rPr>
          <w:b/>
          <w:sz w:val="24"/>
          <w:szCs w:val="24"/>
        </w:rPr>
      </w:pPr>
      <w:r w:rsidRPr="008D630F">
        <w:rPr>
          <w:b/>
          <w:sz w:val="24"/>
          <w:szCs w:val="24"/>
        </w:rPr>
        <w:t>Course handout (Part-II)</w:t>
      </w:r>
    </w:p>
    <w:p w:rsidR="00E71826" w:rsidRPr="008D630F" w:rsidRDefault="00E71826" w:rsidP="00E71826">
      <w:pPr>
        <w:pStyle w:val="Heading1"/>
        <w:rPr>
          <w:rFonts w:ascii="Calibri" w:hAnsi="Calibri" w:cs="Calibri"/>
          <w:szCs w:val="24"/>
        </w:rPr>
      </w:pPr>
      <w:r w:rsidRPr="008D630F">
        <w:rPr>
          <w:rFonts w:ascii="Calibri" w:hAnsi="Calibri" w:cs="Calibri"/>
          <w:szCs w:val="24"/>
        </w:rPr>
        <w:t xml:space="preserve"> Date: </w:t>
      </w:r>
      <w:r w:rsidR="00FA6571">
        <w:rPr>
          <w:rFonts w:ascii="Calibri" w:hAnsi="Calibri" w:cs="Calibri"/>
          <w:szCs w:val="24"/>
        </w:rPr>
        <w:t>0</w:t>
      </w:r>
      <w:r w:rsidR="00F22AE2">
        <w:rPr>
          <w:rFonts w:ascii="Calibri" w:hAnsi="Calibri" w:cs="Calibri"/>
          <w:szCs w:val="24"/>
        </w:rPr>
        <w:t>7</w:t>
      </w:r>
      <w:r>
        <w:rPr>
          <w:rFonts w:ascii="Calibri" w:hAnsi="Calibri" w:cs="Calibri"/>
          <w:szCs w:val="24"/>
        </w:rPr>
        <w:t>/</w:t>
      </w:r>
      <w:r w:rsidR="00F22AE2">
        <w:rPr>
          <w:rFonts w:ascii="Calibri" w:hAnsi="Calibri" w:cs="Calibri"/>
          <w:szCs w:val="24"/>
        </w:rPr>
        <w:t>01</w:t>
      </w:r>
      <w:r>
        <w:rPr>
          <w:rFonts w:ascii="Calibri" w:hAnsi="Calibri" w:cs="Calibri"/>
          <w:szCs w:val="24"/>
        </w:rPr>
        <w:t>/201</w:t>
      </w:r>
      <w:r w:rsidR="00F22AE2">
        <w:rPr>
          <w:rFonts w:ascii="Calibri" w:hAnsi="Calibri" w:cs="Calibri"/>
          <w:szCs w:val="24"/>
        </w:rPr>
        <w:t>9</w:t>
      </w:r>
    </w:p>
    <w:p w:rsidR="00E71826" w:rsidRDefault="00E71826" w:rsidP="00E71826">
      <w:pPr>
        <w:spacing w:after="0" w:line="240" w:lineRule="auto"/>
        <w:ind w:left="-270" w:right="27"/>
        <w:jc w:val="both"/>
        <w:rPr>
          <w:rFonts w:asciiTheme="minorHAnsi" w:hAnsiTheme="minorHAnsi"/>
          <w:sz w:val="24"/>
          <w:szCs w:val="24"/>
        </w:rPr>
      </w:pPr>
    </w:p>
    <w:p w:rsidR="00E71826" w:rsidRPr="0091523B" w:rsidRDefault="00E71826" w:rsidP="00E71826">
      <w:pPr>
        <w:spacing w:after="0" w:line="240" w:lineRule="auto"/>
        <w:ind w:left="-270" w:right="27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E71826" w:rsidRPr="0091523B" w:rsidRDefault="00E71826" w:rsidP="00E71826">
      <w:pPr>
        <w:spacing w:after="0" w:line="240" w:lineRule="auto"/>
        <w:ind w:left="-270" w:right="27"/>
        <w:jc w:val="both"/>
        <w:rPr>
          <w:rFonts w:asciiTheme="minorHAnsi" w:hAnsiTheme="minorHAnsi"/>
          <w:sz w:val="12"/>
          <w:szCs w:val="12"/>
        </w:rPr>
      </w:pPr>
    </w:p>
    <w:p w:rsidR="00E71826" w:rsidRPr="0091523B" w:rsidRDefault="00E71826" w:rsidP="00E71826">
      <w:pPr>
        <w:spacing w:after="0" w:line="240" w:lineRule="auto"/>
        <w:ind w:left="-270" w:right="27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 xml:space="preserve">Course No.                    : </w:t>
      </w:r>
      <w:r w:rsidR="00116EB7">
        <w:rPr>
          <w:rFonts w:asciiTheme="minorHAnsi" w:hAnsiTheme="minorHAnsi"/>
          <w:b/>
          <w:sz w:val="24"/>
          <w:szCs w:val="24"/>
        </w:rPr>
        <w:t>ECON F434</w:t>
      </w:r>
    </w:p>
    <w:p w:rsidR="00E71826" w:rsidRPr="0091523B" w:rsidRDefault="00E71826" w:rsidP="00E71826">
      <w:pPr>
        <w:spacing w:after="0" w:line="240" w:lineRule="auto"/>
        <w:ind w:left="-270" w:right="27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 xml:space="preserve">Course Title                 </w:t>
      </w:r>
      <w:r w:rsidR="006C7797">
        <w:rPr>
          <w:rFonts w:asciiTheme="minorHAnsi" w:hAnsiTheme="minorHAnsi"/>
          <w:b/>
          <w:sz w:val="24"/>
          <w:szCs w:val="24"/>
        </w:rPr>
        <w:t xml:space="preserve"> </w:t>
      </w:r>
      <w:r w:rsidRPr="0091523B">
        <w:rPr>
          <w:rFonts w:asciiTheme="minorHAnsi" w:hAnsiTheme="minorHAnsi"/>
          <w:b/>
          <w:sz w:val="24"/>
          <w:szCs w:val="24"/>
        </w:rPr>
        <w:t xml:space="preserve"> : International Business</w:t>
      </w:r>
    </w:p>
    <w:p w:rsidR="00E71826" w:rsidRDefault="006C7797" w:rsidP="00E71826">
      <w:pPr>
        <w:spacing w:after="0" w:line="240" w:lineRule="auto"/>
        <w:ind w:left="-270" w:right="27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Instructor-in-charge   </w:t>
      </w:r>
      <w:r w:rsidR="00E71826" w:rsidRPr="0091523B">
        <w:rPr>
          <w:rFonts w:asciiTheme="minorHAnsi" w:hAnsiTheme="minorHAnsi"/>
          <w:b/>
          <w:sz w:val="24"/>
          <w:szCs w:val="24"/>
        </w:rPr>
        <w:t xml:space="preserve">: Dr. </w:t>
      </w:r>
      <w:r w:rsidR="00E71826">
        <w:rPr>
          <w:rFonts w:asciiTheme="minorHAnsi" w:hAnsiTheme="minorHAnsi"/>
          <w:b/>
          <w:sz w:val="24"/>
          <w:szCs w:val="24"/>
        </w:rPr>
        <w:t>Archana Srivastava</w:t>
      </w:r>
    </w:p>
    <w:p w:rsidR="006C7797" w:rsidRPr="0091523B" w:rsidRDefault="006C7797" w:rsidP="00E71826">
      <w:pPr>
        <w:spacing w:after="0" w:line="240" w:lineRule="auto"/>
        <w:ind w:left="-270" w:right="27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Instructor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         : Dr. Archana Srivastava</w:t>
      </w:r>
    </w:p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sz w:val="24"/>
          <w:szCs w:val="24"/>
        </w:rPr>
      </w:pPr>
    </w:p>
    <w:p w:rsidR="00E71826" w:rsidRPr="0091523B" w:rsidRDefault="00E71826" w:rsidP="00E71826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0" w:right="27" w:hanging="270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>Scope and objective of the course:</w:t>
      </w:r>
    </w:p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12"/>
          <w:szCs w:val="12"/>
        </w:rPr>
      </w:pPr>
    </w:p>
    <w:p w:rsidR="00E71826" w:rsidRPr="0091523B" w:rsidRDefault="00E71826" w:rsidP="00E71826">
      <w:pPr>
        <w:pStyle w:val="BodyTextIndent2"/>
        <w:spacing w:after="0" w:line="240" w:lineRule="auto"/>
        <w:ind w:left="0" w:right="27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International business is an important subject that is being taught in various leading universities across the world</w:t>
      </w:r>
      <w:r w:rsidR="00FA6571">
        <w:rPr>
          <w:rFonts w:asciiTheme="minorHAnsi" w:hAnsiTheme="minorHAnsi"/>
          <w:sz w:val="24"/>
          <w:szCs w:val="24"/>
        </w:rPr>
        <w:t>. The international environment</w:t>
      </w:r>
      <w:r w:rsidRPr="0091523B">
        <w:rPr>
          <w:rFonts w:asciiTheme="minorHAnsi" w:hAnsiTheme="minorHAnsi"/>
          <w:sz w:val="24"/>
          <w:szCs w:val="24"/>
        </w:rPr>
        <w:t xml:space="preserve"> </w:t>
      </w:r>
      <w:r w:rsidR="00FA6571">
        <w:rPr>
          <w:rFonts w:asciiTheme="minorHAnsi" w:hAnsiTheme="minorHAnsi"/>
          <w:sz w:val="24"/>
          <w:szCs w:val="24"/>
        </w:rPr>
        <w:t>is constantly changing and</w:t>
      </w:r>
      <w:r w:rsidRPr="0091523B">
        <w:rPr>
          <w:rFonts w:asciiTheme="minorHAnsi" w:hAnsiTheme="minorHAnsi"/>
          <w:sz w:val="24"/>
          <w:szCs w:val="24"/>
        </w:rPr>
        <w:t xml:space="preserve"> present</w:t>
      </w:r>
      <w:r w:rsidR="00FA6571">
        <w:rPr>
          <w:rFonts w:asciiTheme="minorHAnsi" w:hAnsiTheme="minorHAnsi"/>
          <w:sz w:val="24"/>
          <w:szCs w:val="24"/>
        </w:rPr>
        <w:t>s</w:t>
      </w:r>
      <w:r w:rsidRPr="0091523B">
        <w:rPr>
          <w:rFonts w:asciiTheme="minorHAnsi" w:hAnsiTheme="minorHAnsi"/>
          <w:sz w:val="24"/>
          <w:szCs w:val="24"/>
        </w:rPr>
        <w:t xml:space="preserve"> attractive opportunities for management graduates, to participate in and benefit from it. The scope of this course is limited to providing the students with a general introduction to the subject and to arm them with a broad framework for handling real life business situations.</w:t>
      </w:r>
    </w:p>
    <w:p w:rsidR="00E71826" w:rsidRPr="0091523B" w:rsidRDefault="00E71826" w:rsidP="00E71826">
      <w:pPr>
        <w:tabs>
          <w:tab w:val="left" w:pos="5490"/>
        </w:tabs>
        <w:spacing w:after="0" w:line="240" w:lineRule="auto"/>
        <w:ind w:right="27"/>
        <w:jc w:val="both"/>
        <w:rPr>
          <w:rFonts w:asciiTheme="minorHAnsi" w:hAnsiTheme="minorHAnsi"/>
          <w:sz w:val="24"/>
          <w:szCs w:val="24"/>
        </w:rPr>
      </w:pPr>
    </w:p>
    <w:p w:rsidR="00E71826" w:rsidRPr="0091523B" w:rsidRDefault="00E71826" w:rsidP="00E71826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0" w:right="27" w:hanging="270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>Text Book:</w:t>
      </w:r>
    </w:p>
    <w:p w:rsidR="00E71826" w:rsidRPr="0091523B" w:rsidRDefault="00E71826" w:rsidP="00E71826">
      <w:pPr>
        <w:spacing w:after="0" w:line="240" w:lineRule="auto"/>
        <w:ind w:left="360" w:right="27"/>
        <w:jc w:val="both"/>
        <w:rPr>
          <w:rFonts w:asciiTheme="minorHAnsi" w:hAnsiTheme="minorHAnsi"/>
          <w:bCs/>
          <w:sz w:val="12"/>
          <w:szCs w:val="12"/>
        </w:rPr>
      </w:pPr>
    </w:p>
    <w:p w:rsidR="00E71826" w:rsidRPr="0091523B" w:rsidRDefault="00E71826" w:rsidP="00E71826">
      <w:pPr>
        <w:pStyle w:val="BodyTextIndent2"/>
        <w:spacing w:after="0" w:line="240" w:lineRule="auto"/>
        <w:ind w:left="0" w:right="27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John D. Daniels &amp; Lee H. Radebaugh, International Business, Environment &amp; Operations, Pearson Education, 2010, 12</w:t>
      </w:r>
      <w:r w:rsidRPr="0091523B"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</w:t>
      </w:r>
      <w:r w:rsidRPr="0091523B">
        <w:rPr>
          <w:rFonts w:asciiTheme="minorHAnsi" w:hAnsiTheme="minorHAnsi"/>
          <w:sz w:val="24"/>
          <w:szCs w:val="24"/>
        </w:rPr>
        <w:t>edition.</w:t>
      </w:r>
      <w:bookmarkStart w:id="0" w:name="_GoBack"/>
      <w:bookmarkEnd w:id="0"/>
    </w:p>
    <w:p w:rsidR="00E71826" w:rsidRPr="0091523B" w:rsidRDefault="00E71826" w:rsidP="00E71826">
      <w:pPr>
        <w:spacing w:after="0" w:line="240" w:lineRule="auto"/>
        <w:ind w:left="360" w:right="27"/>
        <w:jc w:val="both"/>
        <w:rPr>
          <w:rFonts w:asciiTheme="minorHAnsi" w:hAnsiTheme="minorHAnsi"/>
          <w:bCs/>
          <w:sz w:val="24"/>
          <w:szCs w:val="24"/>
        </w:rPr>
      </w:pPr>
    </w:p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>References:</w:t>
      </w:r>
    </w:p>
    <w:p w:rsidR="00E71826" w:rsidRPr="0091523B" w:rsidRDefault="00E71826" w:rsidP="00E71826">
      <w:pPr>
        <w:pStyle w:val="BodyTextIndent"/>
        <w:ind w:right="27"/>
        <w:rPr>
          <w:rFonts w:asciiTheme="minorHAnsi" w:hAnsiTheme="minorHAnsi"/>
          <w:szCs w:val="24"/>
        </w:rPr>
      </w:pPr>
    </w:p>
    <w:p w:rsidR="00E71826" w:rsidRPr="0091523B" w:rsidRDefault="00E71826" w:rsidP="00E71826">
      <w:pPr>
        <w:spacing w:after="0" w:line="240" w:lineRule="auto"/>
        <w:ind w:left="270" w:right="27" w:hanging="90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 xml:space="preserve">R1. Subhash C. Jain, International Marketing, Asian Books Private Limited, 2001, 6th edition. </w:t>
      </w:r>
    </w:p>
    <w:p w:rsidR="00E71826" w:rsidRPr="0091523B" w:rsidRDefault="00E71826" w:rsidP="00E71826">
      <w:pPr>
        <w:spacing w:after="0" w:line="240" w:lineRule="auto"/>
        <w:ind w:left="540" w:right="27" w:hanging="360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R2. Charles W. L. Hill, International Business, Tata McGraw Hill Limited, 2005, 5th edition.</w:t>
      </w:r>
    </w:p>
    <w:p w:rsidR="00E71826" w:rsidRPr="0091523B" w:rsidRDefault="00E71826" w:rsidP="00E71826">
      <w:pPr>
        <w:spacing w:after="0" w:line="240" w:lineRule="auto"/>
        <w:ind w:left="540" w:right="27" w:hanging="360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R3. Rugman, Lecraw &amp;Booth, International Business: Firm &amp; Environment, Tata McGraw Hill Limited.</w:t>
      </w:r>
    </w:p>
    <w:p w:rsidR="00E71826" w:rsidRPr="0091523B" w:rsidRDefault="00E71826" w:rsidP="00E71826">
      <w:pPr>
        <w:spacing w:after="0" w:line="240" w:lineRule="auto"/>
        <w:ind w:left="540" w:right="27" w:hanging="360"/>
        <w:jc w:val="both"/>
        <w:rPr>
          <w:rFonts w:asciiTheme="minorHAnsi" w:hAnsiTheme="minorHAnsi"/>
          <w:sz w:val="24"/>
          <w:szCs w:val="24"/>
        </w:rPr>
      </w:pPr>
      <w:r w:rsidRPr="0091523B">
        <w:rPr>
          <w:rFonts w:asciiTheme="minorHAnsi" w:hAnsiTheme="minorHAnsi"/>
          <w:sz w:val="24"/>
          <w:szCs w:val="24"/>
        </w:rPr>
        <w:t>R4. Roven Simcha, Comparative &amp; Multinational Management, Wiley Int. ed., 1986</w:t>
      </w:r>
    </w:p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Pr="0091523B" w:rsidRDefault="00E71826" w:rsidP="00E71826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0" w:right="27" w:hanging="270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>Course Plan:</w:t>
      </w:r>
    </w:p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4455"/>
        <w:gridCol w:w="2790"/>
        <w:gridCol w:w="1395"/>
      </w:tblGrid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S.No</w:t>
            </w:r>
          </w:p>
        </w:tc>
        <w:tc>
          <w:tcPr>
            <w:tcW w:w="63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Lec.</w:t>
            </w: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No.</w:t>
            </w:r>
          </w:p>
        </w:tc>
        <w:tc>
          <w:tcPr>
            <w:tcW w:w="445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Learning Objectives</w:t>
            </w:r>
          </w:p>
        </w:tc>
        <w:tc>
          <w:tcPr>
            <w:tcW w:w="279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Topics to be covered</w:t>
            </w:r>
          </w:p>
        </w:tc>
        <w:tc>
          <w:tcPr>
            <w:tcW w:w="1395" w:type="dxa"/>
            <w:vAlign w:val="center"/>
          </w:tcPr>
          <w:p w:rsidR="00455033" w:rsidRPr="0091523B" w:rsidRDefault="00F22AE2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Pr="0091523B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455033" w:rsidRPr="0091523B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Overview of the course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Introduction to Case Pedagogy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pStyle w:val="Heading7"/>
              <w:spacing w:before="0" w:line="240" w:lineRule="auto"/>
              <w:ind w:right="27"/>
              <w:jc w:val="both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91523B">
              <w:rPr>
                <w:rFonts w:asciiTheme="minorHAnsi" w:hAnsiTheme="minorHAnsi"/>
                <w:i w:val="0"/>
                <w:sz w:val="24"/>
                <w:szCs w:val="24"/>
              </w:rPr>
              <w:t>NA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Pr="0091523B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455033" w:rsidRPr="0091523B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2</w:t>
            </w:r>
            <w:r w:rsidR="003D185E">
              <w:rPr>
                <w:rFonts w:asciiTheme="minorHAnsi" w:hAnsiTheme="minorHAnsi"/>
                <w:bCs/>
                <w:sz w:val="24"/>
                <w:szCs w:val="24"/>
              </w:rPr>
              <w:t>-3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define international business. 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Explain the major motives of companies for engaging in international business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study the evolution of global marketing 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Introduction to International Business and International Market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pStyle w:val="Heading7"/>
              <w:spacing w:before="0" w:line="240" w:lineRule="auto"/>
              <w:ind w:right="27"/>
              <w:jc w:val="both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91523B">
              <w:rPr>
                <w:rFonts w:asciiTheme="minorHAnsi" w:hAnsiTheme="minorHAnsi"/>
                <w:i w:val="0"/>
                <w:sz w:val="24"/>
                <w:szCs w:val="24"/>
              </w:rPr>
              <w:t>Ch. 1</w:t>
            </w:r>
          </w:p>
        </w:tc>
      </w:tr>
    </w:tbl>
    <w:p w:rsidR="00E71826" w:rsidRDefault="00E71826" w:rsidP="00E71826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E71826" w:rsidRPr="0091523B" w:rsidRDefault="00E71826" w:rsidP="00E71826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4455"/>
        <w:gridCol w:w="2790"/>
        <w:gridCol w:w="1395"/>
      </w:tblGrid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S.No</w:t>
            </w:r>
          </w:p>
        </w:tc>
        <w:tc>
          <w:tcPr>
            <w:tcW w:w="63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Lec.</w:t>
            </w: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No.</w:t>
            </w:r>
          </w:p>
        </w:tc>
        <w:tc>
          <w:tcPr>
            <w:tcW w:w="445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Learning Objectives</w:t>
            </w:r>
          </w:p>
        </w:tc>
        <w:tc>
          <w:tcPr>
            <w:tcW w:w="279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Topics to be covered</w:t>
            </w:r>
          </w:p>
        </w:tc>
        <w:tc>
          <w:tcPr>
            <w:tcW w:w="1395" w:type="dxa"/>
            <w:vAlign w:val="center"/>
          </w:tcPr>
          <w:p w:rsidR="00455033" w:rsidRPr="0091523B" w:rsidRDefault="00F22AE2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4-5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Overview of institutional framework by which trade is regulated and liberalized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Global Trade Protection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&amp; </w:t>
            </w: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the Institutional Background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8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6-7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Describe the meaning of culture and its various elements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Demonstrate the effect of culture’s various dimensions on global business 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Cultural Environment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2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8-10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1523B">
              <w:rPr>
                <w:rFonts w:asciiTheme="minorHAnsi" w:hAnsiTheme="minorHAnsi"/>
                <w:sz w:val="24"/>
                <w:szCs w:val="24"/>
              </w:rPr>
              <w:t>To study different types of legal system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be familiar with the historical development of the modern global monetary system 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understand the fundamental principle of how countries measure international business activity, the balance of payments 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Legal aspects and International Monetary System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3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11-12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define the concept of MNC 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discuss the significant role of MNC in the expansion of business in an international scale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color w:val="000000"/>
                <w:sz w:val="24"/>
                <w:szCs w:val="24"/>
              </w:rPr>
              <w:t>The Multinationals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pStyle w:val="Heading9"/>
              <w:ind w:left="0" w:right="27"/>
              <w:jc w:val="both"/>
              <w:rPr>
                <w:rFonts w:asciiTheme="minorHAnsi" w:hAnsiTheme="minorHAnsi"/>
                <w:b w:val="0"/>
                <w:color w:val="000000"/>
                <w:szCs w:val="24"/>
              </w:rPr>
            </w:pPr>
            <w:r w:rsidRPr="0091523B">
              <w:rPr>
                <w:rFonts w:asciiTheme="minorHAnsi" w:hAnsiTheme="minorHAnsi"/>
                <w:b w:val="0"/>
                <w:bCs w:val="0"/>
                <w:color w:val="000000"/>
                <w:szCs w:val="24"/>
              </w:rPr>
              <w:t>Class Notes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13-14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sz w:val="24"/>
                <w:szCs w:val="24"/>
              </w:rPr>
              <w:t xml:space="preserve">To study the various of ways of entering the global market and to </w:t>
            </w: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un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derstand the advantages and dis</w:t>
            </w: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advantages of each entry mode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Overseas Business Environment and Strategic Options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14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15-16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understand the different levels of economic integration that are possible between nations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study the grouping of countries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&amp;</w:t>
            </w: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their implications for international marketing 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pStyle w:val="Heading3"/>
              <w:ind w:right="27"/>
              <w:jc w:val="both"/>
              <w:rPr>
                <w:rFonts w:asciiTheme="minorHAnsi" w:hAnsiTheme="minorHAnsi"/>
                <w:szCs w:val="24"/>
              </w:rPr>
            </w:pPr>
            <w:r w:rsidRPr="0091523B">
              <w:rPr>
                <w:rFonts w:asciiTheme="minorHAnsi" w:hAnsiTheme="minorHAnsi"/>
                <w:szCs w:val="24"/>
              </w:rPr>
              <w:t>A Regional Analysis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17-18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Procedure for undertaking marketing research across national boundaries and the problems faced.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Sources of secondary data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Perspectives of International MKIS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International Marketing Research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19-20</w:t>
            </w:r>
          </w:p>
        </w:tc>
        <w:tc>
          <w:tcPr>
            <w:tcW w:w="4455" w:type="dxa"/>
          </w:tcPr>
          <w:p w:rsidR="00455033" w:rsidRPr="0091523B" w:rsidRDefault="00455033" w:rsidP="00E71826">
            <w:pPr>
              <w:pStyle w:val="BodyText2"/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</w:rPr>
            </w:pPr>
            <w:r w:rsidRPr="0091523B">
              <w:rPr>
                <w:rFonts w:asciiTheme="minorHAnsi" w:hAnsiTheme="minorHAnsi"/>
              </w:rPr>
              <w:t>To examine the major variables a company should consider when deciding whether &amp; where to expand abroad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Bases for international market segmentation</w:t>
            </w:r>
          </w:p>
        </w:tc>
        <w:tc>
          <w:tcPr>
            <w:tcW w:w="279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Market Screening and Segmentation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12</w:t>
            </w:r>
          </w:p>
        </w:tc>
      </w:tr>
    </w:tbl>
    <w:p w:rsidR="00E71826" w:rsidRDefault="00E71826" w:rsidP="00E71826">
      <w:pPr>
        <w:pStyle w:val="NoSpacing"/>
        <w:jc w:val="both"/>
      </w:pPr>
    </w:p>
    <w:p w:rsidR="00E71826" w:rsidRDefault="00E71826" w:rsidP="00E71826">
      <w:pPr>
        <w:pStyle w:val="NoSpacing"/>
        <w:jc w:val="both"/>
      </w:pPr>
    </w:p>
    <w:p w:rsidR="00455033" w:rsidRDefault="00455033" w:rsidP="00E71826">
      <w:pPr>
        <w:pStyle w:val="NoSpacing"/>
        <w:jc w:val="both"/>
      </w:pPr>
    </w:p>
    <w:p w:rsidR="00455033" w:rsidRDefault="00455033" w:rsidP="00E71826">
      <w:pPr>
        <w:pStyle w:val="NoSpacing"/>
        <w:jc w:val="both"/>
      </w:pPr>
    </w:p>
    <w:p w:rsidR="00455033" w:rsidRDefault="00455033" w:rsidP="00E71826">
      <w:pPr>
        <w:pStyle w:val="NoSpacing"/>
        <w:jc w:val="both"/>
      </w:pPr>
    </w:p>
    <w:p w:rsidR="00E71826" w:rsidRDefault="00E71826" w:rsidP="00E71826">
      <w:pPr>
        <w:pStyle w:val="NoSpacing"/>
        <w:jc w:val="both"/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4446"/>
        <w:gridCol w:w="9"/>
        <w:gridCol w:w="2781"/>
        <w:gridCol w:w="9"/>
        <w:gridCol w:w="1395"/>
      </w:tblGrid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S.No.</w:t>
            </w:r>
          </w:p>
        </w:tc>
        <w:tc>
          <w:tcPr>
            <w:tcW w:w="63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Lec.</w:t>
            </w: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No.</w:t>
            </w:r>
          </w:p>
        </w:tc>
        <w:tc>
          <w:tcPr>
            <w:tcW w:w="4455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Learning Objectives</w:t>
            </w:r>
          </w:p>
        </w:tc>
        <w:tc>
          <w:tcPr>
            <w:tcW w:w="2790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Topics to be covered</w:t>
            </w:r>
          </w:p>
        </w:tc>
        <w:tc>
          <w:tcPr>
            <w:tcW w:w="1395" w:type="dxa"/>
            <w:vAlign w:val="center"/>
          </w:tcPr>
          <w:p w:rsidR="00455033" w:rsidRPr="0091523B" w:rsidRDefault="00F22AE2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21-22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pStyle w:val="BodyText2"/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</w:rPr>
            </w:pPr>
            <w:r w:rsidRPr="0091523B">
              <w:rPr>
                <w:rFonts w:asciiTheme="minorHAnsi" w:hAnsiTheme="minorHAnsi"/>
              </w:rPr>
              <w:t>To study the process of developing a strategy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International Marketing Strategy and Overseas Sales Management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23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Overview of Exim Policy of GOI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institutional infrastructure available in India for exports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Policy and Infrastructure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</w:t>
            </w:r>
          </w:p>
        </w:tc>
        <w:tc>
          <w:tcPr>
            <w:tcW w:w="630" w:type="dxa"/>
            <w:vMerge w:val="restart"/>
            <w:vAlign w:val="center"/>
          </w:tcPr>
          <w:p w:rsidR="00455033" w:rsidRPr="0091523B" w:rsidRDefault="003D185E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24-25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Overview of incentives provide by GOI for exports 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Incentives and Assistance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</w:t>
            </w:r>
          </w:p>
        </w:tc>
        <w:tc>
          <w:tcPr>
            <w:tcW w:w="630" w:type="dxa"/>
            <w:vMerge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446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role played by banks in exports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various schemes available for export finance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finance and Role of Banks</w:t>
            </w:r>
          </w:p>
        </w:tc>
        <w:tc>
          <w:tcPr>
            <w:tcW w:w="1404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15</w:t>
            </w:r>
          </w:p>
        </w:tc>
        <w:tc>
          <w:tcPr>
            <w:tcW w:w="630" w:type="dxa"/>
            <w:vMerge w:val="restart"/>
            <w:vAlign w:val="center"/>
          </w:tcPr>
          <w:p w:rsidR="00455033" w:rsidRPr="0091523B" w:rsidRDefault="003D185E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26-28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various options available for export payments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Payments and Letter of Credit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16</w:t>
            </w:r>
          </w:p>
        </w:tc>
        <w:tc>
          <w:tcPr>
            <w:tcW w:w="630" w:type="dxa"/>
            <w:vMerge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446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export pricing mechanism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understand the form and functions of foreign exchange transactions and market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Pricing and Exchange transactions</w:t>
            </w:r>
          </w:p>
        </w:tc>
        <w:tc>
          <w:tcPr>
            <w:tcW w:w="1404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17</w:t>
            </w:r>
          </w:p>
        </w:tc>
        <w:tc>
          <w:tcPr>
            <w:tcW w:w="630" w:type="dxa"/>
            <w:vMerge w:val="restart"/>
            <w:vAlign w:val="center"/>
          </w:tcPr>
          <w:p w:rsidR="00455033" w:rsidRPr="0091523B" w:rsidRDefault="003D185E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29-30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study the procedures involved in conducting export marketing research 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Marketing Research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18</w:t>
            </w:r>
          </w:p>
        </w:tc>
        <w:tc>
          <w:tcPr>
            <w:tcW w:w="630" w:type="dxa"/>
            <w:vMerge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446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procedure and documentation to be followed in exports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Export Procedures</w:t>
            </w:r>
          </w:p>
        </w:tc>
        <w:tc>
          <w:tcPr>
            <w:tcW w:w="1404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19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31-32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understand the perspectives of international product planning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analyze the pros and cons of standardization versus adaptation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learn the various aspects of new product development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Product Planning, Positioning and Management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20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33-34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pStyle w:val="BodyText2"/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</w:rPr>
            </w:pPr>
            <w:r w:rsidRPr="0091523B">
              <w:rPr>
                <w:rFonts w:asciiTheme="minorHAnsi" w:hAnsiTheme="minorHAnsi"/>
              </w:rPr>
              <w:t>To study the channel type, configuration and selection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physical distribution elements of international business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Distribution Policy, Management and Agreements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  <w:tr w:rsidR="00455033" w:rsidRPr="0091523B" w:rsidTr="00480774">
        <w:tc>
          <w:tcPr>
            <w:tcW w:w="630" w:type="dxa"/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21</w:t>
            </w:r>
          </w:p>
        </w:tc>
        <w:tc>
          <w:tcPr>
            <w:tcW w:w="630" w:type="dxa"/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35-36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pStyle w:val="BodyText2"/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</w:rPr>
            </w:pPr>
            <w:r w:rsidRPr="0091523B">
              <w:rPr>
                <w:rFonts w:asciiTheme="minorHAnsi" w:hAnsiTheme="minorHAnsi"/>
              </w:rPr>
              <w:t>To study the role of advertising and sales promotion in international business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assess the role of advertising agencies internationally</w:t>
            </w: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International Communication and Promotion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</w:tbl>
    <w:p w:rsidR="00E71826" w:rsidRDefault="00E71826" w:rsidP="00E71826">
      <w:pPr>
        <w:pStyle w:val="NoSpacing"/>
        <w:jc w:val="both"/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4446"/>
        <w:gridCol w:w="9"/>
        <w:gridCol w:w="2781"/>
        <w:gridCol w:w="9"/>
        <w:gridCol w:w="1395"/>
      </w:tblGrid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S.No</w:t>
            </w:r>
          </w:p>
        </w:tc>
        <w:tc>
          <w:tcPr>
            <w:tcW w:w="630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Lec.</w:t>
            </w:r>
          </w:p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No.</w:t>
            </w:r>
          </w:p>
        </w:tc>
        <w:tc>
          <w:tcPr>
            <w:tcW w:w="4455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Learning Objectives</w:t>
            </w:r>
          </w:p>
        </w:tc>
        <w:tc>
          <w:tcPr>
            <w:tcW w:w="2790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/>
                <w:sz w:val="24"/>
                <w:szCs w:val="24"/>
              </w:rPr>
              <w:t>Topics to be covered</w:t>
            </w:r>
          </w:p>
        </w:tc>
        <w:tc>
          <w:tcPr>
            <w:tcW w:w="1395" w:type="dxa"/>
            <w:vAlign w:val="center"/>
          </w:tcPr>
          <w:p w:rsidR="00455033" w:rsidRPr="0091523B" w:rsidRDefault="00F22AE2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22</w:t>
            </w:r>
          </w:p>
        </w:tc>
        <w:tc>
          <w:tcPr>
            <w:tcW w:w="630" w:type="dxa"/>
            <w:vMerge w:val="restart"/>
            <w:vAlign w:val="center"/>
          </w:tcPr>
          <w:p w:rsidR="00455033" w:rsidRPr="0091523B" w:rsidRDefault="003D185E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37-39</w:t>
            </w:r>
          </w:p>
        </w:tc>
        <w:tc>
          <w:tcPr>
            <w:tcW w:w="4455" w:type="dxa"/>
            <w:gridSpan w:val="2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understand the importance and role of Public Relation programmes in international markets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International Public Relations</w:t>
            </w:r>
          </w:p>
        </w:tc>
        <w:tc>
          <w:tcPr>
            <w:tcW w:w="1395" w:type="dxa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Ch. 16</w:t>
            </w:r>
          </w:p>
        </w:tc>
      </w:tr>
      <w:tr w:rsidR="00455033" w:rsidRPr="0091523B" w:rsidTr="00455033">
        <w:tc>
          <w:tcPr>
            <w:tcW w:w="630" w:type="dxa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23</w:t>
            </w:r>
          </w:p>
        </w:tc>
        <w:tc>
          <w:tcPr>
            <w:tcW w:w="630" w:type="dxa"/>
            <w:vMerge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446" w:type="dxa"/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why and how a firm’s pricing strategy might vary across countries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study the pricing mechanism in international markets</w:t>
            </w:r>
          </w:p>
        </w:tc>
        <w:tc>
          <w:tcPr>
            <w:tcW w:w="2790" w:type="dxa"/>
            <w:gridSpan w:val="2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Pricing for International Markets</w:t>
            </w:r>
          </w:p>
        </w:tc>
        <w:tc>
          <w:tcPr>
            <w:tcW w:w="1404" w:type="dxa"/>
            <w:gridSpan w:val="2"/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Class Notes</w:t>
            </w:r>
          </w:p>
        </w:tc>
      </w:tr>
      <w:tr w:rsidR="00455033" w:rsidRPr="0091523B" w:rsidTr="00480774">
        <w:tc>
          <w:tcPr>
            <w:tcW w:w="630" w:type="dxa"/>
            <w:tcBorders>
              <w:bottom w:val="single" w:sz="4" w:space="0" w:color="auto"/>
            </w:tcBorders>
          </w:tcPr>
          <w:p w:rsidR="00455033" w:rsidRDefault="00455033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55033" w:rsidRPr="0091523B" w:rsidRDefault="003D185E" w:rsidP="00480774">
            <w:pPr>
              <w:spacing w:after="0" w:line="240" w:lineRule="auto"/>
              <w:ind w:right="27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40</w:t>
            </w:r>
          </w:p>
        </w:tc>
        <w:tc>
          <w:tcPr>
            <w:tcW w:w="4455" w:type="dxa"/>
            <w:gridSpan w:val="2"/>
            <w:tcBorders>
              <w:bottom w:val="single" w:sz="4" w:space="0" w:color="auto"/>
            </w:tcBorders>
          </w:tcPr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To describe the various organizational structures for global operations</w:t>
            </w:r>
          </w:p>
          <w:p w:rsidR="00455033" w:rsidRPr="0091523B" w:rsidRDefault="00455033" w:rsidP="00E71826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spacing w:after="0" w:line="240" w:lineRule="auto"/>
              <w:ind w:left="162" w:right="27" w:hanging="162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 xml:space="preserve">To discuss policy options for staffing internationally 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Organizing for Overseas Markets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455033" w:rsidRPr="0091523B" w:rsidRDefault="00455033" w:rsidP="00E71826">
            <w:pPr>
              <w:spacing w:after="0" w:line="240" w:lineRule="auto"/>
              <w:ind w:right="27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91523B">
              <w:rPr>
                <w:rFonts w:asciiTheme="minorHAnsi" w:hAnsiTheme="minorHAnsi"/>
                <w:bCs/>
                <w:sz w:val="24"/>
                <w:szCs w:val="24"/>
              </w:rPr>
              <w:t>Ch 15</w:t>
            </w:r>
          </w:p>
        </w:tc>
      </w:tr>
    </w:tbl>
    <w:p w:rsidR="00E71826" w:rsidRDefault="00E71826" w:rsidP="00E71826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455033" w:rsidRDefault="00455033" w:rsidP="00E71826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0" w:right="27" w:hanging="270"/>
        <w:jc w:val="both"/>
        <w:rPr>
          <w:rFonts w:asciiTheme="minorHAnsi" w:hAnsiTheme="minorHAnsi"/>
          <w:b/>
          <w:sz w:val="24"/>
          <w:szCs w:val="24"/>
        </w:rPr>
      </w:pPr>
      <w:r w:rsidRPr="0091523B">
        <w:rPr>
          <w:rFonts w:asciiTheme="minorHAnsi" w:hAnsiTheme="minorHAnsi"/>
          <w:b/>
          <w:sz w:val="24"/>
          <w:szCs w:val="24"/>
        </w:rPr>
        <w:t>Evaluation Scheme:</w:t>
      </w: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W w:w="51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1"/>
        <w:gridCol w:w="1161"/>
        <w:gridCol w:w="1354"/>
        <w:gridCol w:w="2001"/>
        <w:gridCol w:w="2073"/>
      </w:tblGrid>
      <w:tr w:rsidR="00F22AE2" w:rsidRPr="00387F2C" w:rsidTr="00DB78FC"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E2" w:rsidRPr="00E71826" w:rsidRDefault="00F22AE2" w:rsidP="00F22AE2">
            <w:pPr>
              <w:pStyle w:val="Heading4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</w:pPr>
            <w:r w:rsidRPr="00E7182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E2" w:rsidRPr="00E71826" w:rsidRDefault="00F22AE2" w:rsidP="00F22AE2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b/>
                <w:bCs/>
                <w:iCs/>
                <w:spacing w:val="-3"/>
                <w:sz w:val="24"/>
                <w:szCs w:val="24"/>
              </w:rPr>
            </w:pPr>
            <w:r w:rsidRPr="00E71826">
              <w:rPr>
                <w:rFonts w:ascii="Times New Roman" w:hAnsi="Times New Roman"/>
                <w:b/>
                <w:bCs/>
                <w:iCs/>
                <w:spacing w:val="-3"/>
                <w:sz w:val="24"/>
                <w:szCs w:val="24"/>
              </w:rPr>
              <w:t>Duration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E2" w:rsidRPr="00E71826" w:rsidRDefault="00F22AE2" w:rsidP="00F22AE2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b/>
                <w:bCs/>
                <w:iCs/>
                <w:spacing w:val="-3"/>
                <w:sz w:val="24"/>
                <w:szCs w:val="24"/>
              </w:rPr>
            </w:pPr>
            <w:r w:rsidRPr="00E71826">
              <w:rPr>
                <w:rFonts w:ascii="Times New Roman" w:hAnsi="Times New Roman"/>
                <w:b/>
                <w:bCs/>
                <w:iCs/>
                <w:spacing w:val="-3"/>
                <w:sz w:val="24"/>
                <w:szCs w:val="24"/>
              </w:rPr>
              <w:t>Weightage (%)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E2" w:rsidRPr="00E71826" w:rsidRDefault="00F22AE2" w:rsidP="00F22AE2">
            <w:pPr>
              <w:pStyle w:val="Heading4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</w:pPr>
            <w:r w:rsidRPr="00E7182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Date &amp; Time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E2" w:rsidRDefault="00F22AE2" w:rsidP="00F22A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71826" w:rsidRPr="00387F2C" w:rsidTr="00DB78FC">
        <w:trPr>
          <w:trHeight w:val="188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3D185E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Mid-Semester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3D185E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90 Min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2C7AFF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30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2" w:rsidRPr="00F22AE2" w:rsidRDefault="00F22AE2" w:rsidP="00F22AE2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F22AE2" w:rsidRPr="00F22AE2" w:rsidRDefault="00F22AE2" w:rsidP="00F22AE2">
            <w:pPr>
              <w:pStyle w:val="Default"/>
              <w:jc w:val="center"/>
              <w:rPr>
                <w:sz w:val="18"/>
                <w:szCs w:val="18"/>
              </w:rPr>
            </w:pPr>
            <w:r w:rsidRPr="00F22AE2">
              <w:rPr>
                <w:sz w:val="18"/>
                <w:szCs w:val="18"/>
              </w:rPr>
              <w:t>13/3</w:t>
            </w:r>
          </w:p>
          <w:p w:rsidR="00E71826" w:rsidRPr="00F22AE2" w:rsidRDefault="00F22AE2" w:rsidP="00F22AE2">
            <w:pPr>
              <w:jc w:val="center"/>
              <w:rPr>
                <w:sz w:val="18"/>
                <w:szCs w:val="18"/>
              </w:rPr>
            </w:pPr>
            <w:r w:rsidRPr="00F22AE2">
              <w:rPr>
                <w:sz w:val="18"/>
                <w:szCs w:val="18"/>
              </w:rPr>
              <w:t>3.30 - 5.00 PM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E71826" w:rsidRDefault="00E71826" w:rsidP="00E71826">
            <w:pPr>
              <w:pStyle w:val="Heading6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E71826">
              <w:rPr>
                <w:rFonts w:ascii="Times New Roman" w:hAnsi="Times New Roman" w:cs="Times New Roman"/>
                <w:b/>
                <w:i w:val="0"/>
                <w:color w:val="auto"/>
              </w:rPr>
              <w:t>CB</w:t>
            </w:r>
          </w:p>
        </w:tc>
      </w:tr>
      <w:tr w:rsidR="00E71826" w:rsidRPr="00387F2C" w:rsidTr="00DB78FC">
        <w:trPr>
          <w:trHeight w:val="188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387F2C" w:rsidRDefault="00E71826" w:rsidP="007A7985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387F2C">
              <w:rPr>
                <w:rFonts w:ascii="Times New Roman" w:hAnsi="Times New Roman"/>
                <w:spacing w:val="-3"/>
                <w:sz w:val="24"/>
                <w:szCs w:val="24"/>
              </w:rPr>
              <w:t>Projects/Assignments</w:t>
            </w:r>
            <w:r w:rsidR="007A7985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(02)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387F2C" w:rsidRDefault="00E71826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387F2C" w:rsidRDefault="007A7985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10+10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F22AE2" w:rsidRDefault="00E71826" w:rsidP="00F22AE2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18"/>
                <w:szCs w:val="18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387F2C" w:rsidRDefault="003D185E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OB</w:t>
            </w:r>
          </w:p>
        </w:tc>
      </w:tr>
      <w:tr w:rsidR="002C7AFF" w:rsidRPr="00387F2C" w:rsidTr="00DB78FC">
        <w:trPr>
          <w:trHeight w:val="188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AFF" w:rsidRPr="00387F2C" w:rsidRDefault="002C7AFF" w:rsidP="007A7985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Quiz (02)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AFF" w:rsidRPr="00387F2C" w:rsidRDefault="002C7AFF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AFF" w:rsidRDefault="002C7AFF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5+5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AFF" w:rsidRPr="00F22AE2" w:rsidRDefault="002C7AFF" w:rsidP="00F22AE2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18"/>
                <w:szCs w:val="18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AFF" w:rsidRDefault="002C7AFF" w:rsidP="00DB78FC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CB</w:t>
            </w:r>
          </w:p>
        </w:tc>
      </w:tr>
      <w:tr w:rsidR="00E71826" w:rsidRPr="00387F2C" w:rsidTr="00DB78FC">
        <w:trPr>
          <w:trHeight w:val="188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E71826" w:rsidP="00DB78FC">
            <w:pPr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387F2C">
              <w:rPr>
                <w:rFonts w:ascii="Times New Roman" w:hAnsi="Times New Roman"/>
                <w:spacing w:val="-3"/>
                <w:sz w:val="24"/>
                <w:szCs w:val="24"/>
              </w:rPr>
              <w:t>Comp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rehensive</w:t>
            </w:r>
            <w:r w:rsidRPr="00387F2C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Exam.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E71826" w:rsidP="00DB78FC">
            <w:pPr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387F2C">
              <w:rPr>
                <w:rFonts w:ascii="Times New Roman" w:hAnsi="Times New Roman"/>
                <w:spacing w:val="-3"/>
                <w:sz w:val="24"/>
                <w:szCs w:val="24"/>
              </w:rPr>
              <w:t>3 hrs.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E71826" w:rsidP="000543FB">
            <w:pPr>
              <w:jc w:val="center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387F2C">
              <w:rPr>
                <w:rFonts w:ascii="Times New Roman" w:hAnsi="Times New Roman"/>
                <w:spacing w:val="-3"/>
                <w:sz w:val="24"/>
                <w:szCs w:val="24"/>
              </w:rPr>
              <w:t>4</w:t>
            </w:r>
            <w:r w:rsidR="002C7AFF">
              <w:rPr>
                <w:rFonts w:ascii="Times New Roman" w:hAnsi="Times New Roman"/>
                <w:spacing w:val="-3"/>
                <w:sz w:val="24"/>
                <w:szCs w:val="24"/>
              </w:rPr>
              <w:t>0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26" w:rsidRPr="00F22AE2" w:rsidRDefault="00F22AE2" w:rsidP="00F22AE2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 w:val="18"/>
                <w:szCs w:val="18"/>
              </w:rPr>
            </w:pPr>
            <w:r w:rsidRPr="00F22AE2">
              <w:rPr>
                <w:sz w:val="18"/>
                <w:szCs w:val="18"/>
              </w:rPr>
              <w:t>07/05</w:t>
            </w:r>
            <w:r w:rsidRPr="00F22AE2">
              <w:rPr>
                <w:sz w:val="18"/>
                <w:szCs w:val="18"/>
              </w:rPr>
              <w:t xml:space="preserve"> </w:t>
            </w:r>
            <w:r w:rsidRPr="00F22AE2">
              <w:rPr>
                <w:sz w:val="18"/>
                <w:szCs w:val="18"/>
              </w:rPr>
              <w:t>AN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826" w:rsidRPr="00387F2C" w:rsidRDefault="00E71826" w:rsidP="003D185E">
            <w:pPr>
              <w:tabs>
                <w:tab w:val="left" w:pos="0"/>
              </w:tabs>
              <w:suppressAutoHyphens/>
              <w:jc w:val="center"/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CB</w:t>
            </w:r>
          </w:p>
        </w:tc>
      </w:tr>
    </w:tbl>
    <w:p w:rsidR="00E71826" w:rsidRPr="0091523B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sz w:val="24"/>
          <w:szCs w:val="24"/>
        </w:rPr>
      </w:pPr>
    </w:p>
    <w:p w:rsidR="00E71826" w:rsidRDefault="00E71826" w:rsidP="00E71826">
      <w:pPr>
        <w:spacing w:after="0" w:line="240" w:lineRule="auto"/>
        <w:ind w:right="27"/>
        <w:jc w:val="both"/>
        <w:rPr>
          <w:rFonts w:asciiTheme="minorHAnsi" w:hAnsiTheme="minorHAnsi"/>
          <w:b/>
          <w:color w:val="000000"/>
          <w:sz w:val="24"/>
          <w:szCs w:val="24"/>
        </w:rPr>
      </w:pPr>
    </w:p>
    <w:p w:rsidR="007A7985" w:rsidRPr="00D73A82" w:rsidRDefault="007A7985" w:rsidP="007A7985">
      <w:pPr>
        <w:spacing w:line="360" w:lineRule="auto"/>
        <w:ind w:right="29"/>
        <w:jc w:val="both"/>
        <w:rPr>
          <w:sz w:val="24"/>
          <w:szCs w:val="24"/>
        </w:rPr>
      </w:pPr>
      <w:r>
        <w:rPr>
          <w:b/>
          <w:bCs/>
        </w:rPr>
        <w:t>5</w:t>
      </w:r>
      <w:r w:rsidRPr="001E7C20">
        <w:rPr>
          <w:b/>
          <w:bCs/>
        </w:rPr>
        <w:t xml:space="preserve">. </w:t>
      </w:r>
      <w:r w:rsidRPr="00D73A82">
        <w:rPr>
          <w:b/>
          <w:bCs/>
          <w:sz w:val="24"/>
          <w:szCs w:val="24"/>
        </w:rPr>
        <w:t>Chamber Consolation Hour</w:t>
      </w:r>
      <w:r w:rsidRPr="00D73A82">
        <w:rPr>
          <w:sz w:val="24"/>
          <w:szCs w:val="24"/>
        </w:rPr>
        <w:t>: To be announced in the class</w:t>
      </w:r>
    </w:p>
    <w:p w:rsidR="007A7985" w:rsidRPr="00D73A82" w:rsidRDefault="007A7985" w:rsidP="007A7985">
      <w:pPr>
        <w:spacing w:line="360" w:lineRule="auto"/>
        <w:ind w:right="2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D73A82">
        <w:rPr>
          <w:b/>
          <w:bCs/>
          <w:sz w:val="24"/>
          <w:szCs w:val="24"/>
        </w:rPr>
        <w:t>. Notices</w:t>
      </w:r>
      <w:r w:rsidRPr="00D73A82">
        <w:rPr>
          <w:sz w:val="24"/>
          <w:szCs w:val="24"/>
        </w:rPr>
        <w:t>: Notices, if any, would be put on CMS</w:t>
      </w:r>
    </w:p>
    <w:p w:rsidR="007A7985" w:rsidRDefault="007A7985" w:rsidP="007A7985">
      <w:pPr>
        <w:pStyle w:val="List"/>
        <w:ind w:left="0" w:right="29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D73A82">
        <w:rPr>
          <w:b/>
          <w:bCs/>
          <w:sz w:val="24"/>
          <w:szCs w:val="24"/>
        </w:rPr>
        <w:t>. Make-up Policy</w:t>
      </w:r>
      <w:r w:rsidRPr="00D73A82">
        <w:rPr>
          <w:sz w:val="24"/>
          <w:szCs w:val="24"/>
        </w:rPr>
        <w:t xml:space="preserve">: </w:t>
      </w:r>
    </w:p>
    <w:p w:rsidR="007A7985" w:rsidRPr="00A0565E" w:rsidRDefault="007A7985" w:rsidP="007A7985">
      <w:pPr>
        <w:pStyle w:val="List"/>
        <w:numPr>
          <w:ilvl w:val="0"/>
          <w:numId w:val="4"/>
        </w:numPr>
        <w:ind w:right="29" w:firstLine="0"/>
        <w:jc w:val="both"/>
        <w:rPr>
          <w:spacing w:val="-2"/>
          <w:sz w:val="24"/>
          <w:szCs w:val="24"/>
        </w:rPr>
      </w:pPr>
      <w:r w:rsidRPr="00D73A82">
        <w:rPr>
          <w:sz w:val="24"/>
          <w:szCs w:val="24"/>
        </w:rPr>
        <w:t xml:space="preserve">Make-up will be granted only on genuine grounds and if prior permission is taken. </w:t>
      </w:r>
    </w:p>
    <w:p w:rsidR="007A7985" w:rsidRPr="00A0565E" w:rsidRDefault="007A7985" w:rsidP="007A7985">
      <w:pPr>
        <w:pStyle w:val="List"/>
        <w:numPr>
          <w:ilvl w:val="0"/>
          <w:numId w:val="4"/>
        </w:numPr>
        <w:ind w:right="29" w:firstLine="0"/>
        <w:jc w:val="both"/>
        <w:rPr>
          <w:spacing w:val="-2"/>
          <w:sz w:val="24"/>
          <w:szCs w:val="24"/>
        </w:rPr>
      </w:pPr>
      <w:r w:rsidRPr="00D73A82">
        <w:rPr>
          <w:sz w:val="24"/>
          <w:szCs w:val="24"/>
        </w:rPr>
        <w:t xml:space="preserve">No application will be accepted in the Exam Hall. </w:t>
      </w:r>
    </w:p>
    <w:p w:rsidR="007A7985" w:rsidRDefault="007A7985" w:rsidP="007A7985">
      <w:pPr>
        <w:pStyle w:val="List"/>
        <w:numPr>
          <w:ilvl w:val="0"/>
          <w:numId w:val="4"/>
        </w:numPr>
        <w:ind w:right="29" w:firstLine="0"/>
        <w:jc w:val="both"/>
        <w:rPr>
          <w:spacing w:val="-2"/>
          <w:sz w:val="24"/>
          <w:szCs w:val="24"/>
        </w:rPr>
      </w:pPr>
      <w:r w:rsidRPr="00D73A82">
        <w:rPr>
          <w:spacing w:val="-2"/>
          <w:sz w:val="24"/>
          <w:szCs w:val="24"/>
        </w:rPr>
        <w:t>Make</w:t>
      </w:r>
      <w:r w:rsidRPr="00D73A82">
        <w:rPr>
          <w:spacing w:val="-2"/>
          <w:sz w:val="24"/>
          <w:szCs w:val="24"/>
        </w:rPr>
        <w:noBreakHyphen/>
        <w:t xml:space="preserve">up will be given only on Doctor’s/Warden’s recommendation and with prior (at least 01 day before the test/exam) permission of the Instructor-in-Charge/Instructor. </w:t>
      </w:r>
    </w:p>
    <w:p w:rsidR="007A7985" w:rsidRDefault="007A7985" w:rsidP="007A7985">
      <w:pPr>
        <w:pStyle w:val="List"/>
        <w:numPr>
          <w:ilvl w:val="0"/>
          <w:numId w:val="4"/>
        </w:numPr>
        <w:ind w:right="29" w:firstLine="0"/>
        <w:jc w:val="both"/>
        <w:rPr>
          <w:spacing w:val="-2"/>
          <w:sz w:val="24"/>
          <w:szCs w:val="24"/>
        </w:rPr>
      </w:pPr>
      <w:r w:rsidRPr="00D73A82">
        <w:rPr>
          <w:spacing w:val="-2"/>
          <w:sz w:val="24"/>
          <w:szCs w:val="24"/>
        </w:rPr>
        <w:t>Make-up application via sms/messages is not acceptable.</w:t>
      </w:r>
    </w:p>
    <w:p w:rsidR="007A7985" w:rsidRPr="007B23CD" w:rsidRDefault="007A7985" w:rsidP="007A7985">
      <w:pPr>
        <w:pStyle w:val="List"/>
        <w:numPr>
          <w:ilvl w:val="0"/>
          <w:numId w:val="4"/>
        </w:numPr>
        <w:ind w:right="29" w:firstLine="0"/>
        <w:jc w:val="both"/>
        <w:rPr>
          <w:b/>
          <w:spacing w:val="-2"/>
          <w:sz w:val="24"/>
          <w:szCs w:val="24"/>
        </w:rPr>
      </w:pPr>
      <w:r w:rsidRPr="006A4C8B">
        <w:rPr>
          <w:b/>
          <w:bCs/>
          <w:sz w:val="24"/>
          <w:szCs w:val="24"/>
        </w:rPr>
        <w:t>No make</w:t>
      </w:r>
      <w:r w:rsidRPr="006A4C8B">
        <w:rPr>
          <w:b/>
          <w:spacing w:val="-2"/>
          <w:sz w:val="24"/>
          <w:szCs w:val="24"/>
        </w:rPr>
        <w:t>-up will be given for quizzes.</w:t>
      </w:r>
    </w:p>
    <w:p w:rsidR="007A7985" w:rsidRPr="00A0565E" w:rsidRDefault="007A7985" w:rsidP="007A7985">
      <w:pPr>
        <w:pStyle w:val="List"/>
        <w:ind w:left="0" w:right="29" w:firstLine="0"/>
        <w:jc w:val="both"/>
        <w:rPr>
          <w:spacing w:val="-2"/>
          <w:sz w:val="24"/>
          <w:szCs w:val="24"/>
        </w:rPr>
      </w:pPr>
    </w:p>
    <w:p w:rsidR="007A7985" w:rsidRDefault="007A7985" w:rsidP="007A7985">
      <w:pPr>
        <w:pStyle w:val="List"/>
        <w:ind w:left="0" w:right="29" w:firstLine="0"/>
        <w:jc w:val="both"/>
        <w:rPr>
          <w:spacing w:val="-2"/>
          <w:sz w:val="24"/>
        </w:rPr>
      </w:pPr>
      <w:r>
        <w:rPr>
          <w:b/>
          <w:bCs/>
          <w:sz w:val="22"/>
          <w:szCs w:val="22"/>
        </w:rPr>
        <w:lastRenderedPageBreak/>
        <w:t>8.</w:t>
      </w:r>
      <w:r w:rsidRPr="003E6806">
        <w:rPr>
          <w:b/>
          <w:spacing w:val="-2"/>
          <w:sz w:val="24"/>
        </w:rPr>
        <w:t xml:space="preserve"> Academic Honesty and Integrity Policy:</w:t>
      </w:r>
      <w:r w:rsidRPr="003E6806">
        <w:rPr>
          <w:spacing w:val="-2"/>
          <w:sz w:val="24"/>
        </w:rPr>
        <w:t xml:space="preserve"> Academic honesty and in</w:t>
      </w:r>
      <w:r>
        <w:rPr>
          <w:spacing w:val="-2"/>
          <w:sz w:val="24"/>
        </w:rPr>
        <w:t xml:space="preserve">tegrity are to be maintained by </w:t>
      </w:r>
      <w:r w:rsidRPr="003E6806">
        <w:rPr>
          <w:spacing w:val="-2"/>
          <w:sz w:val="24"/>
        </w:rPr>
        <w:t>all the students throughout the semester and no type of academic dishonesty is acceptable.</w:t>
      </w:r>
    </w:p>
    <w:p w:rsidR="007A7985" w:rsidRDefault="007A7985" w:rsidP="007A7985">
      <w:pPr>
        <w:pStyle w:val="List"/>
        <w:ind w:left="0" w:right="29" w:firstLine="0"/>
        <w:jc w:val="both"/>
        <w:rPr>
          <w:spacing w:val="-2"/>
          <w:sz w:val="24"/>
        </w:rPr>
      </w:pPr>
    </w:p>
    <w:p w:rsidR="007A7985" w:rsidRDefault="007A7985" w:rsidP="007A7985">
      <w:pPr>
        <w:pStyle w:val="List"/>
        <w:ind w:left="0" w:right="29" w:firstLine="0"/>
        <w:jc w:val="both"/>
        <w:rPr>
          <w:spacing w:val="-2"/>
          <w:sz w:val="24"/>
        </w:rPr>
      </w:pPr>
    </w:p>
    <w:p w:rsidR="00E71826" w:rsidRPr="0091523B" w:rsidRDefault="00E71826" w:rsidP="00E71826">
      <w:pPr>
        <w:pStyle w:val="Heading8"/>
        <w:ind w:right="27"/>
        <w:jc w:val="both"/>
        <w:rPr>
          <w:rFonts w:asciiTheme="minorHAnsi" w:hAnsiTheme="minorHAnsi"/>
          <w:szCs w:val="24"/>
        </w:rPr>
      </w:pP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</w:r>
      <w:r w:rsidRPr="0091523B">
        <w:rPr>
          <w:rFonts w:asciiTheme="minorHAnsi" w:hAnsiTheme="minorHAnsi"/>
          <w:szCs w:val="24"/>
        </w:rPr>
        <w:tab/>
        <w:t xml:space="preserve">                                  </w:t>
      </w:r>
      <w:r>
        <w:rPr>
          <w:rFonts w:asciiTheme="minorHAnsi" w:hAnsiTheme="minorHAnsi"/>
          <w:szCs w:val="24"/>
        </w:rPr>
        <w:t xml:space="preserve">            </w:t>
      </w:r>
      <w:r w:rsidRPr="0091523B">
        <w:rPr>
          <w:rFonts w:asciiTheme="minorHAnsi" w:hAnsiTheme="minorHAnsi"/>
          <w:szCs w:val="24"/>
        </w:rPr>
        <w:t>Instructor-in-Charge</w:t>
      </w:r>
    </w:p>
    <w:p w:rsidR="00E71826" w:rsidRPr="0091523B" w:rsidRDefault="00E71826" w:rsidP="00E71826">
      <w:pPr>
        <w:spacing w:after="0" w:line="240" w:lineRule="auto"/>
        <w:ind w:left="360" w:right="27"/>
        <w:jc w:val="both"/>
        <w:rPr>
          <w:rFonts w:cs="Calibri"/>
          <w:color w:val="FF0000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6A2A20">
        <w:rPr>
          <w:rFonts w:asciiTheme="minorHAnsi" w:hAnsiTheme="minorHAnsi"/>
          <w:b/>
          <w:bCs/>
          <w:sz w:val="24"/>
          <w:szCs w:val="24"/>
        </w:rPr>
        <w:tab/>
      </w:r>
      <w:r w:rsidR="006A2A20">
        <w:rPr>
          <w:rFonts w:asciiTheme="minorHAnsi" w:hAnsiTheme="minorHAnsi"/>
          <w:b/>
          <w:bCs/>
          <w:sz w:val="24"/>
          <w:szCs w:val="24"/>
        </w:rPr>
        <w:tab/>
      </w:r>
      <w:r w:rsidR="00116EB7">
        <w:rPr>
          <w:rFonts w:asciiTheme="minorHAnsi" w:hAnsiTheme="minorHAnsi"/>
          <w:b/>
          <w:bCs/>
          <w:sz w:val="24"/>
          <w:szCs w:val="24"/>
        </w:rPr>
        <w:t>ECON F43</w:t>
      </w:r>
      <w:r w:rsidRPr="0091523B">
        <w:rPr>
          <w:rFonts w:asciiTheme="minorHAnsi" w:hAnsiTheme="minorHAnsi"/>
          <w:b/>
          <w:bCs/>
          <w:sz w:val="24"/>
          <w:szCs w:val="24"/>
        </w:rPr>
        <w:t>4</w:t>
      </w:r>
    </w:p>
    <w:p w:rsidR="00E71826" w:rsidRPr="0091523B" w:rsidRDefault="00E71826" w:rsidP="00E71826">
      <w:pPr>
        <w:pStyle w:val="Heading1"/>
        <w:jc w:val="both"/>
        <w:rPr>
          <w:rFonts w:ascii="Calibri" w:hAnsi="Calibri" w:cs="Calibri"/>
          <w:color w:val="FF0000"/>
          <w:szCs w:val="24"/>
        </w:rPr>
      </w:pPr>
    </w:p>
    <w:p w:rsidR="00E74907" w:rsidRDefault="00CD2658" w:rsidP="00E71826">
      <w:pPr>
        <w:jc w:val="both"/>
      </w:pPr>
    </w:p>
    <w:sectPr w:rsidR="00E74907" w:rsidSect="00F826D3">
      <w:pgSz w:w="11907" w:h="16839" w:code="9"/>
      <w:pgMar w:top="1440" w:right="810" w:bottom="1440" w:left="1440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658" w:rsidRDefault="00CD2658" w:rsidP="00E71826">
      <w:pPr>
        <w:spacing w:after="0" w:line="240" w:lineRule="auto"/>
      </w:pPr>
      <w:r>
        <w:separator/>
      </w:r>
    </w:p>
  </w:endnote>
  <w:endnote w:type="continuationSeparator" w:id="0">
    <w:p w:rsidR="00CD2658" w:rsidRDefault="00CD2658" w:rsidP="00E7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658" w:rsidRDefault="00CD2658" w:rsidP="00E71826">
      <w:pPr>
        <w:spacing w:after="0" w:line="240" w:lineRule="auto"/>
      </w:pPr>
      <w:r>
        <w:separator/>
      </w:r>
    </w:p>
  </w:footnote>
  <w:footnote w:type="continuationSeparator" w:id="0">
    <w:p w:rsidR="00CD2658" w:rsidRDefault="00CD2658" w:rsidP="00E71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7ED1"/>
    <w:multiLevelType w:val="hybridMultilevel"/>
    <w:tmpl w:val="AEA6C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E13E3"/>
    <w:multiLevelType w:val="hybridMultilevel"/>
    <w:tmpl w:val="20A0FA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EEB1C92"/>
    <w:multiLevelType w:val="singleLevel"/>
    <w:tmpl w:val="B3707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F244B9B"/>
    <w:multiLevelType w:val="hybridMultilevel"/>
    <w:tmpl w:val="58AE7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26"/>
    <w:rsid w:val="000543FB"/>
    <w:rsid w:val="000C7AEF"/>
    <w:rsid w:val="00116EB7"/>
    <w:rsid w:val="00244D82"/>
    <w:rsid w:val="002752D6"/>
    <w:rsid w:val="002C772E"/>
    <w:rsid w:val="002C7AFF"/>
    <w:rsid w:val="003D185E"/>
    <w:rsid w:val="00455033"/>
    <w:rsid w:val="00480774"/>
    <w:rsid w:val="00555B4E"/>
    <w:rsid w:val="00677D06"/>
    <w:rsid w:val="006A2A20"/>
    <w:rsid w:val="006C7797"/>
    <w:rsid w:val="007A7985"/>
    <w:rsid w:val="00C8517C"/>
    <w:rsid w:val="00CD2658"/>
    <w:rsid w:val="00D142F4"/>
    <w:rsid w:val="00D3623E"/>
    <w:rsid w:val="00E54950"/>
    <w:rsid w:val="00E71826"/>
    <w:rsid w:val="00E908CE"/>
    <w:rsid w:val="00EA7AC8"/>
    <w:rsid w:val="00F22AE2"/>
    <w:rsid w:val="00F82167"/>
    <w:rsid w:val="00F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FE124-8403-4D3D-AE77-60B2262E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2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71826"/>
    <w:pPr>
      <w:keepNext/>
      <w:spacing w:after="0" w:line="240" w:lineRule="auto"/>
      <w:jc w:val="right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E71826"/>
    <w:pPr>
      <w:keepNext/>
      <w:spacing w:after="0" w:line="240" w:lineRule="auto"/>
      <w:outlineLvl w:val="2"/>
    </w:pPr>
    <w:rPr>
      <w:rFonts w:ascii="Times New Roman" w:eastAsia="Times New Roman" w:hAnsi="Times New Roman"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E71826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E71826"/>
    <w:pPr>
      <w:keepNext/>
      <w:spacing w:after="0" w:line="240" w:lineRule="auto"/>
      <w:ind w:left="360"/>
      <w:outlineLvl w:val="8"/>
    </w:pPr>
    <w:rPr>
      <w:rFonts w:ascii="Times New Roman" w:eastAsia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82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71826"/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7182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E71826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7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26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rsid w:val="00E71826"/>
    <w:pPr>
      <w:spacing w:after="0" w:line="240" w:lineRule="auto"/>
      <w:ind w:left="810" w:hanging="45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1826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E71826"/>
    <w:pPr>
      <w:spacing w:after="0" w:line="240" w:lineRule="auto"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E71826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7182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718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1826"/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18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182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26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A2A20"/>
    <w:pPr>
      <w:ind w:left="720"/>
      <w:contextualSpacing/>
    </w:pPr>
  </w:style>
  <w:style w:type="paragraph" w:styleId="List">
    <w:name w:val="List"/>
    <w:basedOn w:val="Normal"/>
    <w:rsid w:val="007A7985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ascii="Times New Roman" w:eastAsia="Times New Roman" w:hAnsi="Times New Roman"/>
      <w:sz w:val="20"/>
      <w:szCs w:val="20"/>
    </w:rPr>
  </w:style>
  <w:style w:type="paragraph" w:customStyle="1" w:styleId="Default">
    <w:name w:val="Default"/>
    <w:rsid w:val="00F22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5</cp:revision>
  <dcterms:created xsi:type="dcterms:W3CDTF">2018-12-17T06:21:00Z</dcterms:created>
  <dcterms:modified xsi:type="dcterms:W3CDTF">2019-01-04T04:49:00Z</dcterms:modified>
</cp:coreProperties>
</file>