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50" w:rsidRDefault="00190A26">
      <w:pPr>
        <w:jc w:val="center"/>
        <w:rPr>
          <w:b/>
        </w:rPr>
      </w:pPr>
      <w:r>
        <w:rPr>
          <w:b/>
          <w:noProof/>
          <w:lang w:bidi="te-IN"/>
        </w:rPr>
        <w:drawing>
          <wp:inline distT="0" distB="0" distL="0" distR="0">
            <wp:extent cx="4924425" cy="1019175"/>
            <wp:effectExtent l="0" t="0" r="0" b="0"/>
            <wp:docPr id="1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7450" w:rsidRDefault="00190A26">
      <w:pPr>
        <w:jc w:val="center"/>
        <w:rPr>
          <w:b/>
        </w:rPr>
      </w:pPr>
      <w:r>
        <w:rPr>
          <w:b/>
        </w:rPr>
        <w:t>SECOND SEMESTER 2018-2019</w:t>
      </w:r>
    </w:p>
    <w:p w:rsidR="003A7450" w:rsidRDefault="00190A26">
      <w:pPr>
        <w:pStyle w:val="Heading1"/>
        <w:jc w:val="center"/>
      </w:pPr>
      <w:r>
        <w:t>Course Handout Part II</w:t>
      </w:r>
    </w:p>
    <w:p w:rsidR="003A7450" w:rsidRDefault="00190A26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</w:t>
      </w:r>
      <w:r w:rsidR="00902C85">
        <w:t>07</w:t>
      </w:r>
      <w:r>
        <w:t>-</w:t>
      </w:r>
      <w:r w:rsidR="00902C85">
        <w:t>0</w:t>
      </w:r>
      <w:r>
        <w:t xml:space="preserve">1-2019 </w:t>
      </w:r>
    </w:p>
    <w:p w:rsidR="003A7450" w:rsidRDefault="00190A2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In addition to part-I (General Handout for all courses appended to the time table) this portion gives further specific details regarding the course.</w:t>
      </w:r>
    </w:p>
    <w:p w:rsidR="003A7450" w:rsidRDefault="003A7450"/>
    <w:p w:rsidR="003A7450" w:rsidRDefault="00190A26"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</w:rPr>
        <w:t xml:space="preserve"> </w:t>
      </w:r>
      <w:r>
        <w:t>BITS F112</w:t>
      </w:r>
    </w:p>
    <w:p w:rsidR="003A7450" w:rsidRDefault="00190A26">
      <w:pPr>
        <w:pStyle w:val="Heading2"/>
        <w:rPr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: Technical Report Writing</w:t>
      </w:r>
    </w:p>
    <w:p w:rsidR="003A7450" w:rsidRDefault="00190A26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Santosh </w:t>
      </w:r>
      <w:proofErr w:type="spellStart"/>
      <w:r>
        <w:rPr>
          <w:i w:val="0"/>
        </w:rPr>
        <w:t>Mahapatra</w:t>
      </w:r>
      <w:proofErr w:type="spellEnd"/>
    </w:p>
    <w:p w:rsidR="003A7450" w:rsidRDefault="003A7450"/>
    <w:p w:rsidR="003A7450" w:rsidRDefault="00190A26">
      <w:pPr>
        <w:spacing w:after="120"/>
        <w:jc w:val="both"/>
      </w:pPr>
      <w:r>
        <w:rPr>
          <w:b/>
        </w:rPr>
        <w:t xml:space="preserve">Scope and Objective of the Course: </w:t>
      </w:r>
      <w:r w:rsidR="002A3048">
        <w:t xml:space="preserve">Newly </w:t>
      </w:r>
      <w:r>
        <w:t xml:space="preserve">admitted undergraduate students at BITS </w:t>
      </w:r>
      <w:r>
        <w:rPr>
          <w:highlight w:val="white"/>
        </w:rPr>
        <w:t xml:space="preserve">are required to learn </w:t>
      </w:r>
      <w:r>
        <w:t>technical report writing and academic presentation skills</w:t>
      </w:r>
      <w:r w:rsidR="002A3048">
        <w:t xml:space="preserve"> so that they can </w:t>
      </w:r>
      <w:r>
        <w:t xml:space="preserve">write </w:t>
      </w:r>
      <w:r w:rsidR="002A3048">
        <w:t xml:space="preserve">and present </w:t>
      </w:r>
      <w:r>
        <w:t xml:space="preserve">reports for PS, </w:t>
      </w:r>
      <w:proofErr w:type="spellStart"/>
      <w:r>
        <w:t>LoP</w:t>
      </w:r>
      <w:proofErr w:type="spellEnd"/>
      <w:r>
        <w:t>/</w:t>
      </w:r>
      <w:proofErr w:type="spellStart"/>
      <w:r>
        <w:t>DoP</w:t>
      </w:r>
      <w:proofErr w:type="spellEnd"/>
      <w:r>
        <w:t xml:space="preserve"> courses and theses</w:t>
      </w:r>
      <w:r w:rsidR="002A3048">
        <w:t xml:space="preserve"> effectively</w:t>
      </w:r>
      <w:r>
        <w:t xml:space="preserve">. Aimed at basic to intermediate level students from a variety of disciplinary backgrounds, the course </w:t>
      </w:r>
      <w:r w:rsidR="00892DEE">
        <w:t xml:space="preserve">focuses on </w:t>
      </w:r>
      <w:r w:rsidR="00186CEE">
        <w:t>general</w:t>
      </w:r>
      <w:r w:rsidR="00E97619">
        <w:t xml:space="preserve"> </w:t>
      </w:r>
      <w:r>
        <w:t xml:space="preserve">academic language needs of students.  Being skilled in writing, note-making and note-taking can enable students to write </w:t>
      </w:r>
      <w:r w:rsidR="00890256">
        <w:t xml:space="preserve">and present </w:t>
      </w:r>
      <w:r>
        <w:t xml:space="preserve">technical reports more effectively. In addition, students are introduced to conventions of academic formatting, referencing and citation, which they would be expected to </w:t>
      </w:r>
      <w:r w:rsidR="002A3048">
        <w:t>utilize</w:t>
      </w:r>
      <w:r>
        <w:t xml:space="preserve"> while writing reports.   </w:t>
      </w:r>
    </w:p>
    <w:p w:rsidR="003A7450" w:rsidRDefault="00190A26">
      <w:pPr>
        <w:spacing w:after="120"/>
        <w:jc w:val="both"/>
      </w:pPr>
      <w:r>
        <w:t>The main objectives of the course are to:</w:t>
      </w:r>
    </w:p>
    <w:p w:rsidR="003A7450" w:rsidRDefault="00190A26">
      <w:pPr>
        <w:numPr>
          <w:ilvl w:val="0"/>
          <w:numId w:val="2"/>
        </w:numPr>
        <w:jc w:val="both"/>
      </w:pPr>
      <w:r>
        <w:t>improve students’ ability to read and listen to academic texts and prepare notes;</w:t>
      </w:r>
    </w:p>
    <w:p w:rsidR="003A7450" w:rsidRDefault="00190A26">
      <w:pPr>
        <w:numPr>
          <w:ilvl w:val="0"/>
          <w:numId w:val="2"/>
        </w:numPr>
        <w:jc w:val="both"/>
      </w:pPr>
      <w:r>
        <w:t>enhance students’ academic writing skills;</w:t>
      </w:r>
    </w:p>
    <w:p w:rsidR="003A7450" w:rsidRDefault="002A3048">
      <w:pPr>
        <w:numPr>
          <w:ilvl w:val="0"/>
          <w:numId w:val="2"/>
        </w:numPr>
        <w:jc w:val="both"/>
      </w:pPr>
      <w:r>
        <w:t>familiarize</w:t>
      </w:r>
      <w:r w:rsidR="00190A26">
        <w:t xml:space="preserve"> students with various aspects of technical reports;</w:t>
      </w:r>
    </w:p>
    <w:p w:rsidR="003A7450" w:rsidRDefault="00190A26">
      <w:pPr>
        <w:numPr>
          <w:ilvl w:val="0"/>
          <w:numId w:val="2"/>
        </w:numPr>
        <w:spacing w:after="120"/>
        <w:jc w:val="both"/>
      </w:pPr>
      <w:r>
        <w:t xml:space="preserve">enable students to make academic presentations. </w:t>
      </w:r>
    </w:p>
    <w:p w:rsidR="003A7450" w:rsidRDefault="00190A2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:rsidR="003A7450" w:rsidRDefault="00190A26">
      <w:pPr>
        <w:numPr>
          <w:ilvl w:val="0"/>
          <w:numId w:val="1"/>
        </w:numPr>
        <w:jc w:val="both"/>
      </w:pPr>
      <w:proofErr w:type="spellStart"/>
      <w:r>
        <w:t>Hewings</w:t>
      </w:r>
      <w:proofErr w:type="spellEnd"/>
      <w:r>
        <w:t xml:space="preserve">, M.  and </w:t>
      </w:r>
      <w:proofErr w:type="spellStart"/>
      <w:r>
        <w:t>Thaine</w:t>
      </w:r>
      <w:proofErr w:type="spellEnd"/>
      <w:r>
        <w:t xml:space="preserve">, C. 2014. </w:t>
      </w:r>
      <w:r>
        <w:rPr>
          <w:i/>
        </w:rPr>
        <w:t>Cambridge Academic English (Advanced) Student’s Book</w:t>
      </w:r>
      <w:r>
        <w:t>. First South Asian Edition. Cambridge University Press.</w:t>
      </w:r>
    </w:p>
    <w:p w:rsidR="003A7450" w:rsidRDefault="003A7450">
      <w:pPr>
        <w:jc w:val="both"/>
        <w:rPr>
          <w:b/>
        </w:rPr>
      </w:pPr>
    </w:p>
    <w:p w:rsidR="003A7450" w:rsidRDefault="00190A26">
      <w:pPr>
        <w:jc w:val="both"/>
        <w:rPr>
          <w:b/>
        </w:rPr>
      </w:pPr>
      <w:r>
        <w:rPr>
          <w:b/>
        </w:rPr>
        <w:t xml:space="preserve">Reference </w:t>
      </w:r>
      <w:r w:rsidR="00B1368F">
        <w:rPr>
          <w:b/>
        </w:rPr>
        <w:t>B</w:t>
      </w:r>
      <w:r>
        <w:rPr>
          <w:b/>
        </w:rPr>
        <w:t>ooks</w:t>
      </w:r>
      <w:r w:rsidR="00B1368F">
        <w:rPr>
          <w:b/>
        </w:rPr>
        <w:t>:</w:t>
      </w:r>
    </w:p>
    <w:p w:rsidR="003A7450" w:rsidRDefault="00190A26">
      <w:pPr>
        <w:numPr>
          <w:ilvl w:val="0"/>
          <w:numId w:val="3"/>
        </w:numPr>
        <w:spacing w:after="120"/>
        <w:jc w:val="both"/>
      </w:pPr>
      <w:r>
        <w:t xml:space="preserve">Peter </w:t>
      </w:r>
      <w:proofErr w:type="spellStart"/>
      <w:r>
        <w:t>Levrai</w:t>
      </w:r>
      <w:proofErr w:type="spellEnd"/>
      <w:r>
        <w:t xml:space="preserve"> and </w:t>
      </w:r>
      <w:proofErr w:type="spellStart"/>
      <w:r>
        <w:t>Averil</w:t>
      </w:r>
      <w:proofErr w:type="spellEnd"/>
      <w:r>
        <w:t xml:space="preserve"> Bolster. 2015. </w:t>
      </w:r>
      <w:r>
        <w:rPr>
          <w:i/>
        </w:rPr>
        <w:t>Academic Presenting and Presentations: Student's Book</w:t>
      </w:r>
      <w:r>
        <w:t xml:space="preserve">. </w:t>
      </w:r>
      <w:proofErr w:type="spellStart"/>
      <w:r>
        <w:t>BoD</w:t>
      </w:r>
      <w:proofErr w:type="spellEnd"/>
      <w:r>
        <w:t xml:space="preserve"> – Books on Demand.</w:t>
      </w:r>
    </w:p>
    <w:p w:rsidR="003A7450" w:rsidRDefault="00190A26">
      <w:pPr>
        <w:numPr>
          <w:ilvl w:val="0"/>
          <w:numId w:val="3"/>
        </w:numPr>
        <w:jc w:val="both"/>
      </w:pPr>
      <w:r>
        <w:t xml:space="preserve">Stephen Bailey. 2017. </w:t>
      </w:r>
      <w:r>
        <w:rPr>
          <w:i/>
        </w:rPr>
        <w:t>Academic Writing: A Handbook for International Students</w:t>
      </w:r>
      <w:r>
        <w:t>, 5th Edition, Routledge.</w:t>
      </w:r>
    </w:p>
    <w:p w:rsidR="003A7450" w:rsidRDefault="00190A26">
      <w:pPr>
        <w:numPr>
          <w:ilvl w:val="0"/>
          <w:numId w:val="3"/>
        </w:numPr>
        <w:jc w:val="both"/>
      </w:pPr>
      <w:r>
        <w:t xml:space="preserve">Rhonda </w:t>
      </w:r>
      <w:proofErr w:type="spellStart"/>
      <w:r>
        <w:t>Liss</w:t>
      </w:r>
      <w:proofErr w:type="spellEnd"/>
      <w:r>
        <w:t xml:space="preserve"> and Jason Davis. 2012. </w:t>
      </w:r>
      <w:r>
        <w:rPr>
          <w:i/>
        </w:rPr>
        <w:t>Effective Academic Writing (The Researched Essay) 3</w:t>
      </w:r>
      <w:r>
        <w:t>. Second Edition. OUP</w:t>
      </w:r>
    </w:p>
    <w:p w:rsidR="003A7450" w:rsidRDefault="003A7450">
      <w:pPr>
        <w:ind w:left="720"/>
        <w:jc w:val="both"/>
      </w:pPr>
    </w:p>
    <w:p w:rsidR="003A7450" w:rsidRDefault="00190A26">
      <w:pPr>
        <w:spacing w:after="120"/>
        <w:jc w:val="both"/>
        <w:rPr>
          <w:i/>
        </w:rPr>
      </w:pPr>
      <w:r>
        <w:rPr>
          <w:b/>
        </w:rPr>
        <w:t xml:space="preserve">* </w:t>
      </w:r>
      <w:r>
        <w:rPr>
          <w:i/>
        </w:rPr>
        <w:t>Relevant materials from the web will also be used.</w:t>
      </w:r>
    </w:p>
    <w:p w:rsidR="003A7450" w:rsidRDefault="003A7450">
      <w:pPr>
        <w:spacing w:after="120"/>
        <w:jc w:val="both"/>
        <w:rPr>
          <w:i/>
        </w:rPr>
      </w:pPr>
    </w:p>
    <w:p w:rsidR="003A7450" w:rsidRDefault="003A7450">
      <w:pPr>
        <w:spacing w:after="120"/>
        <w:jc w:val="both"/>
        <w:rPr>
          <w:i/>
        </w:rPr>
      </w:pPr>
    </w:p>
    <w:p w:rsidR="0030748E" w:rsidRDefault="0030748E">
      <w:pPr>
        <w:spacing w:after="120"/>
        <w:jc w:val="both"/>
        <w:rPr>
          <w:i/>
        </w:rPr>
      </w:pPr>
    </w:p>
    <w:p w:rsidR="003A7450" w:rsidRDefault="00190A26">
      <w:pPr>
        <w:jc w:val="both"/>
        <w:rPr>
          <w:b/>
        </w:rPr>
      </w:pPr>
      <w:r>
        <w:rPr>
          <w:b/>
        </w:rPr>
        <w:lastRenderedPageBreak/>
        <w:t>Course Plan:</w:t>
      </w:r>
    </w:p>
    <w:p w:rsidR="0030748E" w:rsidRDefault="0030748E">
      <w:pPr>
        <w:jc w:val="both"/>
        <w:rPr>
          <w:b/>
        </w:rPr>
      </w:pPr>
    </w:p>
    <w:tbl>
      <w:tblPr>
        <w:tblStyle w:val="a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3105"/>
        <w:gridCol w:w="3559"/>
        <w:gridCol w:w="1530"/>
      </w:tblGrid>
      <w:tr w:rsidR="003A7450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A7450" w:rsidRDefault="00190A2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A7450" w:rsidRDefault="00190A2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3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A7450" w:rsidRDefault="00190A2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3A7450" w:rsidRDefault="00190A2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3A74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7450" w:rsidRDefault="00190A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Recognize different elements and aspects of the course; identify the difference between general and academic communication</w:t>
            </w:r>
          </w:p>
          <w:p w:rsidR="003A7450" w:rsidRDefault="003A7450">
            <w:pPr>
              <w:rPr>
                <w:sz w:val="22"/>
                <w:szCs w:val="22"/>
              </w:rPr>
            </w:pPr>
          </w:p>
        </w:tc>
        <w:tc>
          <w:tcPr>
            <w:tcW w:w="3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Overview: Importance, objective, topics and assessment</w:t>
            </w:r>
          </w:p>
          <w:p w:rsidR="003A7450" w:rsidRDefault="00190A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Communication: general and academic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pPr>
              <w:rPr>
                <w:sz w:val="22"/>
                <w:szCs w:val="22"/>
              </w:rPr>
            </w:pPr>
            <w:r>
              <w:t>Web sources</w:t>
            </w:r>
          </w:p>
        </w:tc>
      </w:tr>
      <w:tr w:rsidR="003A74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2-9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Apply basic elements of writing academic paragraphs and differentiate among distinct kinds of paragraphs; write e-mails effectively; create concise versions of academic texts and restate academic texts in an original manner</w:t>
            </w:r>
          </w:p>
          <w:p w:rsidR="003A7450" w:rsidRDefault="003A7450"/>
        </w:tc>
        <w:tc>
          <w:tcPr>
            <w:tcW w:w="3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Elements of effective writing: Words, phrases, linkers and appropriate sentence structures, paragraph writing, e-mail writing, summarizing and paraphrasing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T1 Unit 1, 2</w:t>
            </w:r>
          </w:p>
          <w:p w:rsidR="003A7450" w:rsidRDefault="00190A26">
            <w:r>
              <w:t>and</w:t>
            </w:r>
          </w:p>
          <w:p w:rsidR="003A7450" w:rsidRDefault="00190A26">
            <w:r>
              <w:t>R2. Part I &amp; II</w:t>
            </w:r>
          </w:p>
        </w:tc>
      </w:tr>
      <w:tr w:rsidR="003A74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10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 xml:space="preserve">Discover different types and aspects of technical reports </w:t>
            </w:r>
          </w:p>
          <w:p w:rsidR="003A7450" w:rsidRDefault="003A7450"/>
        </w:tc>
        <w:tc>
          <w:tcPr>
            <w:tcW w:w="3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Understanding formal reports, types of reports; academic reports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Web sources</w:t>
            </w:r>
          </w:p>
        </w:tc>
      </w:tr>
      <w:tr w:rsidR="003A74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11-15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A879CD">
            <w:r>
              <w:t>Utilize</w:t>
            </w:r>
            <w:r w:rsidR="00190A26">
              <w:t xml:space="preserve"> various preparatory steps to report writing; </w:t>
            </w:r>
            <w:r w:rsidR="00190A26">
              <w:rPr>
                <w:highlight w:val="white"/>
              </w:rPr>
              <w:t>develop outlines,</w:t>
            </w:r>
            <w:r w:rsidR="00190A26">
              <w:t xml:space="preserve"> organize and prepare notes </w:t>
            </w:r>
          </w:p>
          <w:p w:rsidR="003A7450" w:rsidRDefault="003A7450"/>
        </w:tc>
        <w:tc>
          <w:tcPr>
            <w:tcW w:w="3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Preparatory steps for writing reports: Reading short articles, reports and making notes, listening to presentations/lectures and taking notes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T1. Units 1, 2, 5, 9, 10, Lecture skills C, D</w:t>
            </w:r>
          </w:p>
          <w:p w:rsidR="003A7450" w:rsidRDefault="003A7450"/>
          <w:p w:rsidR="003A7450" w:rsidRDefault="003A7450"/>
        </w:tc>
      </w:tr>
      <w:tr w:rsidR="003A74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16-25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 xml:space="preserve">Evaluate the content and language of each section of a report </w:t>
            </w:r>
          </w:p>
        </w:tc>
        <w:tc>
          <w:tcPr>
            <w:tcW w:w="3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Structure of reports and method and sources of data: Abstract/executive summary; title and contents pages; introduction; methods; results; discussion and conclusion; references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T1. Units 5-10, web sources</w:t>
            </w:r>
          </w:p>
        </w:tc>
      </w:tr>
      <w:tr w:rsidR="003A74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26-29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4634" w:rsidRDefault="00190A26">
            <w:bookmarkStart w:id="0" w:name="_gjdgxs" w:colFirst="0" w:colLast="0"/>
            <w:bookmarkEnd w:id="0"/>
            <w:r>
              <w:t xml:space="preserve">Develop an outline for a presentation; select and use appropriate technological tools, list the components, select content and </w:t>
            </w:r>
            <w:r w:rsidR="00E67CB8">
              <w:t>utilize</w:t>
            </w:r>
            <w:r>
              <w:t xml:space="preserve"> appropriate language</w:t>
            </w:r>
          </w:p>
          <w:p w:rsidR="003A7450" w:rsidRDefault="00190A26">
            <w:r>
              <w:t xml:space="preserve"> </w:t>
            </w:r>
          </w:p>
        </w:tc>
        <w:tc>
          <w:tcPr>
            <w:tcW w:w="3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Oral presentation and use of illustrations: Structure, outline, delivery modes, body language and voice, visual aids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T1. Unit 4-10</w:t>
            </w:r>
          </w:p>
          <w:p w:rsidR="003A7450" w:rsidRDefault="00190A26">
            <w:r>
              <w:t>R1 and web sources</w:t>
            </w:r>
          </w:p>
        </w:tc>
      </w:tr>
    </w:tbl>
    <w:p w:rsidR="003A7450" w:rsidRDefault="003A7450">
      <w:pPr>
        <w:jc w:val="both"/>
      </w:pPr>
    </w:p>
    <w:p w:rsidR="003A7450" w:rsidRDefault="003A7450">
      <w:pPr>
        <w:jc w:val="both"/>
        <w:rPr>
          <w:b/>
        </w:rPr>
      </w:pPr>
    </w:p>
    <w:p w:rsidR="003A7450" w:rsidRDefault="003A7450">
      <w:pPr>
        <w:jc w:val="both"/>
        <w:rPr>
          <w:b/>
        </w:rPr>
      </w:pPr>
    </w:p>
    <w:p w:rsidR="0030748E" w:rsidRDefault="0030748E">
      <w:pPr>
        <w:jc w:val="both"/>
        <w:rPr>
          <w:b/>
        </w:rPr>
      </w:pPr>
    </w:p>
    <w:p w:rsidR="003A7450" w:rsidRDefault="00190A26">
      <w:pPr>
        <w:jc w:val="both"/>
        <w:rPr>
          <w:b/>
        </w:rPr>
      </w:pPr>
      <w:r>
        <w:rPr>
          <w:b/>
        </w:rPr>
        <w:lastRenderedPageBreak/>
        <w:t>Evaluation Scheme:</w:t>
      </w:r>
    </w:p>
    <w:p w:rsidR="0030748E" w:rsidRDefault="0030748E">
      <w:pPr>
        <w:jc w:val="both"/>
        <w:rPr>
          <w:b/>
        </w:rPr>
      </w:pPr>
    </w:p>
    <w:tbl>
      <w:tblPr>
        <w:tblStyle w:val="a0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3A7450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A7450" w:rsidRDefault="00190A26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A7450" w:rsidRDefault="00190A26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A7450" w:rsidRDefault="00190A26">
            <w:pPr>
              <w:jc w:val="center"/>
              <w:rPr>
                <w:b/>
              </w:rPr>
            </w:pPr>
            <w:r>
              <w:rPr>
                <w:b/>
              </w:rPr>
              <w:t>Weighting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A7450" w:rsidRDefault="00190A26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A7450" w:rsidRDefault="00190A26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3A7450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450" w:rsidRDefault="00190A26">
            <w:pPr>
              <w:jc w:val="both"/>
            </w:pPr>
            <w:r>
              <w:t xml:space="preserve">Assignment 1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3A745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190A26">
            <w:pPr>
              <w:jc w:val="center"/>
            </w:pPr>
            <w:r>
              <w:t>15%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3A7450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3A7450">
            <w:pPr>
              <w:jc w:val="center"/>
            </w:pPr>
          </w:p>
        </w:tc>
      </w:tr>
      <w:tr w:rsidR="003A7450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450" w:rsidRDefault="00190A26">
            <w:pPr>
              <w:jc w:val="both"/>
            </w:pPr>
            <w:r>
              <w:t>Mid-semester Examination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190A26">
            <w:pPr>
              <w:jc w:val="center"/>
            </w:pPr>
            <w:r>
              <w:t>90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190A26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C85" w:rsidRDefault="00902C85" w:rsidP="00902C85">
            <w:pPr>
              <w:pStyle w:val="Default"/>
              <w:jc w:val="center"/>
            </w:pPr>
          </w:p>
          <w:p w:rsidR="00902C85" w:rsidRDefault="00902C85" w:rsidP="00902C85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</w:t>
            </w:r>
          </w:p>
          <w:p w:rsidR="003A7450" w:rsidRDefault="00902C85" w:rsidP="00902C85">
            <w:pPr>
              <w:jc w:val="center"/>
            </w:pPr>
            <w:r>
              <w:rPr>
                <w:sz w:val="16"/>
                <w:szCs w:val="16"/>
              </w:rPr>
              <w:t xml:space="preserve">9.00 - </w:t>
            </w:r>
            <w:proofErr w:type="spellStart"/>
            <w:r>
              <w:rPr>
                <w:sz w:val="16"/>
                <w:szCs w:val="16"/>
              </w:rPr>
              <w:t>10.30AM</w:t>
            </w:r>
            <w:proofErr w:type="spellEnd"/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190A26">
            <w:pPr>
              <w:jc w:val="center"/>
            </w:pPr>
            <w:r>
              <w:t>Open book</w:t>
            </w:r>
          </w:p>
        </w:tc>
      </w:tr>
      <w:tr w:rsidR="003A7450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450" w:rsidRDefault="00190A26">
            <w:pPr>
              <w:jc w:val="both"/>
            </w:pPr>
            <w:r>
              <w:t xml:space="preserve">Assignment 2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3A745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190A26">
            <w:pPr>
              <w:jc w:val="center"/>
            </w:pPr>
            <w:r>
              <w:t>15%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3A7450" w:rsidP="00902C85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3A7450">
            <w:pPr>
              <w:jc w:val="center"/>
            </w:pPr>
          </w:p>
        </w:tc>
      </w:tr>
      <w:tr w:rsidR="003A7450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450" w:rsidRDefault="00190A26">
            <w:pPr>
              <w:jc w:val="both"/>
            </w:pPr>
            <w:r>
              <w:t>Comprehensive Examination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190A26">
            <w:pPr>
              <w:jc w:val="center"/>
            </w:pPr>
            <w:r>
              <w:t>3 hours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190A26">
            <w:pPr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902C85" w:rsidP="00902C85">
            <w:pPr>
              <w:jc w:val="center"/>
            </w:pPr>
            <w:r>
              <w:rPr>
                <w:sz w:val="17"/>
                <w:szCs w:val="17"/>
              </w:rPr>
              <w:t>08/05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AN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190A26">
            <w:pPr>
              <w:jc w:val="center"/>
            </w:pPr>
            <w:r>
              <w:t>Open book</w:t>
            </w:r>
          </w:p>
        </w:tc>
      </w:tr>
    </w:tbl>
    <w:p w:rsidR="003A7450" w:rsidRDefault="003A7450">
      <w:pPr>
        <w:jc w:val="both"/>
      </w:pPr>
    </w:p>
    <w:p w:rsidR="003A7450" w:rsidRDefault="003A7450">
      <w:pPr>
        <w:jc w:val="both"/>
        <w:rPr>
          <w:b/>
        </w:rPr>
      </w:pPr>
    </w:p>
    <w:p w:rsidR="003A7450" w:rsidRDefault="00190A26">
      <w:pPr>
        <w:jc w:val="both"/>
      </w:pPr>
      <w:r>
        <w:rPr>
          <w:b/>
        </w:rPr>
        <w:t>Chamber Consultation Hour:</w:t>
      </w:r>
      <w:r>
        <w:t xml:space="preserve"> The slot will be decided during the first class.</w:t>
      </w:r>
    </w:p>
    <w:p w:rsidR="003A7450" w:rsidRDefault="003A7450">
      <w:pPr>
        <w:jc w:val="both"/>
      </w:pPr>
    </w:p>
    <w:p w:rsidR="003A7450" w:rsidRDefault="00190A26">
      <w:pPr>
        <w:jc w:val="both"/>
      </w:pPr>
      <w:r>
        <w:rPr>
          <w:b/>
        </w:rPr>
        <w:t>Notices:</w:t>
      </w:r>
      <w:r>
        <w:t xml:space="preserve"> Notices concerning the course will be displayed on the CMS.</w:t>
      </w:r>
    </w:p>
    <w:p w:rsidR="003A7450" w:rsidRDefault="003A7450">
      <w:pPr>
        <w:jc w:val="both"/>
      </w:pPr>
    </w:p>
    <w:p w:rsidR="003A7450" w:rsidRDefault="00190A26">
      <w:pPr>
        <w:jc w:val="both"/>
      </w:pPr>
      <w:r>
        <w:rPr>
          <w:b/>
        </w:rPr>
        <w:t xml:space="preserve">Make-up Policy: </w:t>
      </w:r>
      <w:r>
        <w:t>Make-up will be given only in genuine cases (subject to verification).</w:t>
      </w:r>
    </w:p>
    <w:p w:rsidR="00763ECF" w:rsidRPr="0031210B" w:rsidRDefault="00763ECF" w:rsidP="00763ECF">
      <w:pPr>
        <w:spacing w:line="304" w:lineRule="exact"/>
        <w:jc w:val="both"/>
      </w:pPr>
      <w:bookmarkStart w:id="1" w:name="_GoBack"/>
      <w:bookmarkEnd w:id="1"/>
      <w:r w:rsidRPr="0031210B">
        <w:rPr>
          <w:b/>
        </w:rPr>
        <w:t>Academic Honesty and Integrity Policy:</w:t>
      </w:r>
      <w:r w:rsidRPr="0031210B">
        <w:t xml:space="preserve"> Academic honesty and integrity are to be maintained by all the students throughout the semester and no type of academic dishonesty is acceptable.</w:t>
      </w:r>
    </w:p>
    <w:p w:rsidR="00763ECF" w:rsidRDefault="00763ECF">
      <w:pPr>
        <w:jc w:val="both"/>
        <w:rPr>
          <w:b/>
        </w:rPr>
      </w:pPr>
    </w:p>
    <w:p w:rsidR="003A7450" w:rsidRDefault="003A7450">
      <w:pPr>
        <w:jc w:val="right"/>
      </w:pPr>
    </w:p>
    <w:p w:rsidR="003A7450" w:rsidRDefault="00190A26">
      <w:pPr>
        <w:ind w:left="6480" w:firstLine="720"/>
        <w:jc w:val="center"/>
        <w:rPr>
          <w:b/>
        </w:rPr>
      </w:pPr>
      <w:r>
        <w:rPr>
          <w:b/>
        </w:rPr>
        <w:t xml:space="preserve">Santosh </w:t>
      </w:r>
      <w:proofErr w:type="spellStart"/>
      <w:r>
        <w:rPr>
          <w:b/>
        </w:rPr>
        <w:t>Mahapatra</w:t>
      </w:r>
      <w:proofErr w:type="spellEnd"/>
      <w:r>
        <w:rPr>
          <w:b/>
        </w:rPr>
        <w:t xml:space="preserve">    </w:t>
      </w:r>
    </w:p>
    <w:p w:rsidR="003A7450" w:rsidRDefault="003A7450">
      <w:pPr>
        <w:jc w:val="right"/>
        <w:rPr>
          <w:b/>
        </w:rPr>
      </w:pPr>
    </w:p>
    <w:p w:rsidR="003A7450" w:rsidRDefault="00190A26">
      <w:pPr>
        <w:jc w:val="right"/>
        <w:rPr>
          <w:b/>
        </w:rPr>
      </w:pPr>
      <w:r>
        <w:rPr>
          <w:b/>
        </w:rPr>
        <w:t xml:space="preserve"> INSTRUCTOR-IN-CHARGE</w:t>
      </w:r>
    </w:p>
    <w:sectPr w:rsidR="003A7450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A56" w:rsidRDefault="00747A56">
      <w:r>
        <w:separator/>
      </w:r>
    </w:p>
  </w:endnote>
  <w:endnote w:type="continuationSeparator" w:id="0">
    <w:p w:rsidR="00747A56" w:rsidRDefault="00747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450" w:rsidRDefault="00190A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bidi="te-IN"/>
      </w:rPr>
      <w:drawing>
        <wp:inline distT="0" distB="0" distL="0" distR="0">
          <wp:extent cx="1647825" cy="600075"/>
          <wp:effectExtent l="0" t="0" r="0" b="0"/>
          <wp:docPr id="2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A56" w:rsidRDefault="00747A56">
      <w:r>
        <w:separator/>
      </w:r>
    </w:p>
  </w:footnote>
  <w:footnote w:type="continuationSeparator" w:id="0">
    <w:p w:rsidR="00747A56" w:rsidRDefault="00747A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450" w:rsidRDefault="003A74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F50BB"/>
    <w:multiLevelType w:val="multilevel"/>
    <w:tmpl w:val="A79A4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D6B08"/>
    <w:multiLevelType w:val="multilevel"/>
    <w:tmpl w:val="E32C9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C18AF"/>
    <w:multiLevelType w:val="multilevel"/>
    <w:tmpl w:val="6C241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7450"/>
    <w:rsid w:val="00186CEE"/>
    <w:rsid w:val="00190A26"/>
    <w:rsid w:val="001959A1"/>
    <w:rsid w:val="0020142F"/>
    <w:rsid w:val="002A3048"/>
    <w:rsid w:val="0030748E"/>
    <w:rsid w:val="0038500C"/>
    <w:rsid w:val="003A7450"/>
    <w:rsid w:val="0073717A"/>
    <w:rsid w:val="00747A56"/>
    <w:rsid w:val="00763ECF"/>
    <w:rsid w:val="00890256"/>
    <w:rsid w:val="00892DEE"/>
    <w:rsid w:val="00902C85"/>
    <w:rsid w:val="009A4634"/>
    <w:rsid w:val="009C0416"/>
    <w:rsid w:val="00A879CD"/>
    <w:rsid w:val="00AB6366"/>
    <w:rsid w:val="00B1368F"/>
    <w:rsid w:val="00BA5E2F"/>
    <w:rsid w:val="00E67CB8"/>
    <w:rsid w:val="00E9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81C057-5DE1-41BE-AC26-BAEA9EA4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902C85"/>
    <w:pPr>
      <w:autoSpaceDE w:val="0"/>
      <w:autoSpaceDN w:val="0"/>
      <w:adjustRightInd w:val="0"/>
    </w:pPr>
    <w:rPr>
      <w:rFonts w:ascii="Arial" w:hAnsi="Arial" w:cs="Arial"/>
      <w:color w:val="000000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21</cp:revision>
  <dcterms:created xsi:type="dcterms:W3CDTF">2019-01-03T04:37:00Z</dcterms:created>
  <dcterms:modified xsi:type="dcterms:W3CDTF">2019-01-04T09:16:00Z</dcterms:modified>
</cp:coreProperties>
</file>