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D700DC">
      <w:pPr>
        <w:jc w:val="center"/>
        <w:rPr>
          <w:b/>
          <w:bCs/>
        </w:rPr>
      </w:pPr>
      <w:r>
        <w:rPr>
          <w:b/>
          <w:bCs/>
        </w:rPr>
        <w:t>FIRST</w:t>
      </w:r>
      <w:r w:rsidR="00FB4DE4">
        <w:rPr>
          <w:b/>
          <w:bCs/>
        </w:rPr>
        <w:t xml:space="preserve"> SEMESTER 20</w:t>
      </w:r>
      <w:r>
        <w:rPr>
          <w:b/>
          <w:bCs/>
        </w:rPr>
        <w:t>19</w:t>
      </w:r>
      <w:r w:rsidR="00FB4DE4">
        <w:rPr>
          <w:b/>
          <w:bCs/>
        </w:rPr>
        <w:t>-20</w:t>
      </w:r>
      <w:r>
        <w:rPr>
          <w:b/>
          <w:bCs/>
        </w:rPr>
        <w:t>20</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A1319">
        <w:t>01</w:t>
      </w:r>
      <w:r w:rsidR="00222682">
        <w:t>/0</w:t>
      </w:r>
      <w:r w:rsidR="005A1319">
        <w:t>8</w:t>
      </w:r>
      <w:r w:rsidR="00FE4E6A">
        <w:t>/2019</w:t>
      </w:r>
      <w:r w:rsidR="00507A43">
        <w:t xml:space="preserve"> </w:t>
      </w:r>
    </w:p>
    <w:p w:rsidR="00AD25E1" w:rsidRDefault="00AD25E1">
      <w:pPr>
        <w:pStyle w:val="BodyText"/>
      </w:pPr>
      <w:r>
        <w:t>In addition to part-I (General Handout for all courses appended to the time table) this portion gives further specific details regarding the course.</w:t>
      </w:r>
    </w:p>
    <w:p w:rsidR="00AD25E1" w:rsidRDefault="00AD25E1"/>
    <w:p w:rsidR="00AD25E1" w:rsidRPr="00FE4E6A" w:rsidRDefault="00AD25E1">
      <w:pPr>
        <w:rPr>
          <w:iCs/>
        </w:rPr>
      </w:pPr>
      <w:r>
        <w:rPr>
          <w:i/>
          <w:iCs/>
        </w:rPr>
        <w:t>Course No.</w:t>
      </w:r>
      <w:r>
        <w:tab/>
      </w:r>
      <w:r>
        <w:tab/>
      </w:r>
      <w:r>
        <w:tab/>
        <w:t xml:space="preserve">: </w:t>
      </w:r>
      <w:r w:rsidR="00FE4E6A">
        <w:rPr>
          <w:iCs/>
        </w:rPr>
        <w:t>ECON F411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rsidR="00FE4E6A" w:rsidRPr="00FE4E6A" w:rsidRDefault="00AD25E1" w:rsidP="00FE4E6A">
      <w:pPr>
        <w:pStyle w:val="Default"/>
        <w:jc w:val="both"/>
      </w:pPr>
      <w:r>
        <w:t>Instructor-in-Charge</w:t>
      </w:r>
      <w:r>
        <w:tab/>
      </w:r>
      <w:r>
        <w:tab/>
        <w:t xml:space="preserve">: </w:t>
      </w:r>
      <w:r w:rsidR="00FE4E6A" w:rsidRPr="00FE4E6A">
        <w:t xml:space="preserve">Dr. Sunny Kumar Singh </w:t>
      </w:r>
    </w:p>
    <w:p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rsidR="00AD25E1" w:rsidRDefault="00AD25E1">
      <w:pPr>
        <w:pStyle w:val="Heading2"/>
        <w:rPr>
          <w:i w:val="0"/>
          <w:iCs w:val="0"/>
        </w:rPr>
      </w:pPr>
    </w:p>
    <w:p w:rsidR="00AD25E1" w:rsidRDefault="00AD25E1">
      <w:pPr>
        <w:rPr>
          <w:b/>
          <w:bCs/>
        </w:rPr>
      </w:pPr>
      <w:r>
        <w:rPr>
          <w:b/>
          <w:bCs/>
        </w:rPr>
        <w:t>Scope and Objective of the Course:</w:t>
      </w:r>
    </w:p>
    <w:p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FE4E6A" w:rsidP="00A44798">
      <w:pPr>
        <w:numPr>
          <w:ilvl w:val="0"/>
          <w:numId w:val="2"/>
        </w:numPr>
        <w:jc w:val="both"/>
        <w:rPr>
          <w:bCs/>
        </w:rPr>
      </w:pPr>
      <w:r>
        <w:t>Chandra P., “Projects: Planning Analysis, Selection, Implementation &amp; Review”, Tata McGraw-Hill New Delhi, 2014 (Eighth Edition). (T1)</w:t>
      </w:r>
    </w:p>
    <w:p w:rsidR="00A44798" w:rsidRDefault="00A44798">
      <w:pPr>
        <w:jc w:val="both"/>
        <w:rPr>
          <w:b/>
          <w:bCs/>
        </w:rPr>
      </w:pPr>
    </w:p>
    <w:p w:rsidR="00AD25E1" w:rsidRDefault="00AD25E1">
      <w:pPr>
        <w:jc w:val="both"/>
        <w:rPr>
          <w:b/>
          <w:bCs/>
        </w:rPr>
      </w:pPr>
      <w:r>
        <w:rPr>
          <w:b/>
          <w:bCs/>
        </w:rPr>
        <w:t>Reference books</w:t>
      </w:r>
    </w:p>
    <w:p w:rsidR="00FE4E6A" w:rsidRDefault="00FE4E6A" w:rsidP="00FE4E6A">
      <w:pPr>
        <w:numPr>
          <w:ilvl w:val="0"/>
          <w:numId w:val="3"/>
        </w:numPr>
        <w:spacing w:before="240" w:after="240" w:line="276" w:lineRule="auto"/>
      </w:pPr>
      <w:r>
        <w:t>Rogers, Martin &amp; Duffy, Aidan, “Engineering Project Appraisal”, Wiley-Blackwell, 2012 (Second Edition). (R1)</w:t>
      </w:r>
    </w:p>
    <w:p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rsidR="00A44798" w:rsidRDefault="00A44798">
      <w:pPr>
        <w:jc w:val="both"/>
        <w:rPr>
          <w:b/>
          <w:bCs/>
        </w:rPr>
      </w:pPr>
    </w:p>
    <w:p w:rsidR="00FE4E6A" w:rsidRDefault="00FE4E6A">
      <w:pPr>
        <w:jc w:val="both"/>
        <w:rPr>
          <w:b/>
          <w:bCs/>
        </w:rPr>
      </w:pPr>
    </w:p>
    <w:p w:rsidR="00FE4E6A" w:rsidRDefault="00FE4E6A">
      <w:pPr>
        <w:jc w:val="both"/>
        <w:rPr>
          <w:b/>
          <w:bCs/>
        </w:rPr>
      </w:pPr>
    </w:p>
    <w:p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rsidP="00DA423E">
            <w:pPr>
              <w:jc w:val="center"/>
              <w:rPr>
                <w:sz w:val="22"/>
                <w:szCs w:val="22"/>
              </w:rPr>
            </w:pPr>
            <w:r w:rsidRPr="00BA568D">
              <w:rPr>
                <w:sz w:val="22"/>
                <w:szCs w:val="22"/>
              </w:rPr>
              <w:t>1</w:t>
            </w:r>
            <w:r w:rsidR="00DA423E">
              <w:rPr>
                <w:sz w:val="22"/>
                <w:szCs w:val="22"/>
              </w:rPr>
              <w:t xml:space="preserve">-4 </w:t>
            </w:r>
          </w:p>
        </w:tc>
        <w:tc>
          <w:tcPr>
            <w:tcW w:w="3600" w:type="dxa"/>
            <w:tcBorders>
              <w:top w:val="single" w:sz="6" w:space="0" w:color="000000"/>
              <w:left w:val="single" w:sz="6" w:space="0" w:color="000000"/>
              <w:bottom w:val="single" w:sz="6" w:space="0" w:color="000000"/>
              <w:right w:val="single" w:sz="6" w:space="0" w:color="000000"/>
            </w:tcBorders>
            <w:vAlign w:val="center"/>
          </w:tcPr>
          <w:p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rPr>
                <w:bCs/>
              </w:rPr>
              <w:t>T1 (Ch. 1-3); R1 (Ch. 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Pr="00BA568D" w:rsidRDefault="00DA423E">
            <w:pPr>
              <w:jc w:val="center"/>
              <w:rPr>
                <w:sz w:val="22"/>
                <w:szCs w:val="22"/>
              </w:rPr>
            </w:pPr>
            <w:r>
              <w:rPr>
                <w:sz w:val="22"/>
                <w:szCs w:val="22"/>
              </w:rPr>
              <w:t>5-8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jc w:val="both"/>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rPr>
                <w:bCs/>
              </w:rPr>
            </w:pPr>
            <w:r>
              <w:t>T1 (Ch. 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w:t>
            </w:r>
            <w:r>
              <w:lastRenderedPageBreak/>
              <w:t xml:space="preserve">production; Profitability projections; Projected cash flow 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w:t>
            </w:r>
            <w:r>
              <w:lastRenderedPageBreak/>
              <w:t>Statement and Balance 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lastRenderedPageBreak/>
              <w:t>T1 (Ch. 5-6),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13-18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 xml:space="preserve">The Time Value of Money (Present Value and Future Value of a Single Amount/ an Annuity); Investment Criteria (NPV, IRR, Profitability Index, Payback Period, Accounting Rate of Return etc.); Project Cash Flow </w:t>
            </w:r>
          </w:p>
          <w:p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7-9); R1 (Ch. 2-6)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19-21</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10),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22-25</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 xml:space="preserve">Analysis of Project Risk: </w:t>
            </w:r>
            <w:r>
              <w:t xml:space="preserve">The students are expected to – Describe the source, measures, and perspectives on risk; Explain various techniques of risk analysis like sensitivity analysis, scenario analysis, break-even analysis, </w:t>
            </w:r>
            <w:r>
              <w:lastRenderedPageBreak/>
              <w:t xml:space="preserve">Simulation </w:t>
            </w:r>
            <w:proofErr w:type="spellStart"/>
            <w:r>
              <w:t>Ananlysis</w:t>
            </w:r>
            <w:proofErr w:type="spellEnd"/>
            <w:r>
              <w:t xml:space="preserve">; decision tree analysis; Describe various 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lastRenderedPageBreak/>
              <w:t>Measuring Risk; Sensitivity Analysis; Scenario Analysis; Break-even Analysis; Simulation Analysis; Decision Tree Analysis; Project Selection under Risk</w:t>
            </w:r>
          </w:p>
          <w:p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lastRenderedPageBreak/>
              <w:t>T1 (Ch. 11),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26-30</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31-34</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Pr>
                <w:b/>
              </w:rPr>
              <w:t xml:space="preserve">Cost-benefit Analysis of Public Projects: </w:t>
            </w:r>
            <w:r>
              <w:t xml:space="preserve">By completion of this module, students will be able to carry out economic appraisal of the projects that are undertaken by government agencies. Further, they will learn the processes and steps involved in the economic appraisal of the public-sector projects. Student will be able to compute the direct net economic benefit from variety of developmental project that are funded by the public agencies. Students will be able conduct social cost and benefit analysis of public projects. They will learn </w:t>
            </w:r>
            <w:r>
              <w:lastRenderedPageBreak/>
              <w:t xml:space="preserve">about the steps involved in the process of funding of public projects in India.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Theoretical basis and Procedure of Cost-benefit Analysis</w:t>
            </w:r>
            <w:r>
              <w:rPr>
                <w:b/>
              </w:rPr>
              <w:t xml:space="preserve">; </w:t>
            </w:r>
            <w:r>
              <w:t>Case studies on public projects like Delhi Metro, Water Supply, Highway Improvement, Sewer Flooding Alleviation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R1 (Ch. 7),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lastRenderedPageBreak/>
              <w:t>35-38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Multiple Projects and Constraints: </w:t>
            </w:r>
            <w:r>
              <w:t>By completion of these lectures, students will be able to discuss the nature of constraints which characterize capital budgeting. In the process, they will be able to learn linear programming model, integer linear programming model and goal programming model.</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Linear Programming; Integer Linear Programming; Goal Programming</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15),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DA423E">
            <w:pPr>
              <w:jc w:val="center"/>
              <w:rPr>
                <w:sz w:val="22"/>
                <w:szCs w:val="22"/>
              </w:rPr>
            </w:pPr>
            <w:r>
              <w:rPr>
                <w:sz w:val="22"/>
                <w:szCs w:val="22"/>
              </w:rPr>
              <w:t>39-42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Group Presentations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TBA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TBA</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56"/>
        <w:gridCol w:w="1150"/>
        <w:gridCol w:w="1769"/>
        <w:gridCol w:w="1257"/>
        <w:gridCol w:w="1421"/>
      </w:tblGrid>
      <w:tr w:rsidR="005A1319" w:rsidTr="005A1319">
        <w:trPr>
          <w:trHeight w:val="422"/>
          <w:jc w:val="center"/>
        </w:trPr>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5A1319" w:rsidRDefault="005A1319">
            <w:pPr>
              <w:jc w:val="center"/>
              <w:rPr>
                <w:b/>
                <w:bCs/>
              </w:rPr>
            </w:pPr>
            <w:r>
              <w:rPr>
                <w:b/>
                <w:bCs/>
              </w:rPr>
              <w:t>Component</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5A1319" w:rsidRDefault="005A1319">
            <w:pPr>
              <w:jc w:val="center"/>
              <w:rPr>
                <w:b/>
                <w:bCs/>
              </w:rPr>
            </w:pPr>
            <w:r>
              <w:rPr>
                <w:b/>
                <w:bCs/>
              </w:rPr>
              <w:t>Duration</w:t>
            </w:r>
          </w:p>
        </w:tc>
        <w:tc>
          <w:tcPr>
            <w:tcW w:w="0" w:type="auto"/>
            <w:tcBorders>
              <w:top w:val="single" w:sz="4" w:space="0" w:color="auto"/>
              <w:left w:val="single" w:sz="4" w:space="0" w:color="auto"/>
              <w:bottom w:val="single" w:sz="4" w:space="0" w:color="auto"/>
              <w:right w:val="single" w:sz="4" w:space="0" w:color="auto"/>
            </w:tcBorders>
            <w:shd w:val="clear" w:color="auto" w:fill="E6E6E6"/>
            <w:vAlign w:val="center"/>
          </w:tcPr>
          <w:p w:rsidR="005A1319" w:rsidRDefault="005A1319">
            <w:pPr>
              <w:jc w:val="center"/>
              <w:rPr>
                <w:b/>
                <w:bCs/>
              </w:rPr>
            </w:pPr>
            <w:r>
              <w:rPr>
                <w:b/>
                <w:bCs/>
              </w:rPr>
              <w:t>Weightage (%)</w:t>
            </w:r>
          </w:p>
        </w:tc>
        <w:tc>
          <w:tcPr>
            <w:tcW w:w="1257" w:type="dxa"/>
            <w:tcBorders>
              <w:top w:val="single" w:sz="4" w:space="0" w:color="auto"/>
              <w:left w:val="single" w:sz="4" w:space="0" w:color="auto"/>
              <w:bottom w:val="single" w:sz="4" w:space="0" w:color="auto"/>
              <w:right w:val="single" w:sz="4" w:space="0" w:color="auto"/>
            </w:tcBorders>
            <w:shd w:val="clear" w:color="auto" w:fill="E6E6E6"/>
          </w:tcPr>
          <w:p w:rsidR="005A1319" w:rsidRDefault="002909CD" w:rsidP="00DE3D84">
            <w:pPr>
              <w:jc w:val="center"/>
              <w:rPr>
                <w:b/>
                <w:bCs/>
              </w:rPr>
            </w:pPr>
            <w:r>
              <w:rPr>
                <w:b/>
                <w:bCs/>
              </w:rPr>
              <w:t>Date &amp; Time</w:t>
            </w:r>
            <w:bookmarkStart w:id="0" w:name="_GoBack"/>
            <w:bookmarkEnd w:id="0"/>
          </w:p>
        </w:tc>
        <w:tc>
          <w:tcPr>
            <w:tcW w:w="1421" w:type="dxa"/>
            <w:tcBorders>
              <w:top w:val="single" w:sz="4" w:space="0" w:color="auto"/>
              <w:left w:val="single" w:sz="4" w:space="0" w:color="auto"/>
              <w:bottom w:val="single" w:sz="4" w:space="0" w:color="auto"/>
              <w:right w:val="single" w:sz="4" w:space="0" w:color="auto"/>
            </w:tcBorders>
            <w:shd w:val="clear" w:color="auto" w:fill="E6E6E6"/>
            <w:vAlign w:val="center"/>
          </w:tcPr>
          <w:p w:rsidR="005A1319" w:rsidRDefault="005A1319" w:rsidP="00DE3D84">
            <w:pPr>
              <w:jc w:val="center"/>
              <w:rPr>
                <w:b/>
                <w:bCs/>
              </w:rPr>
            </w:pPr>
            <w:r>
              <w:rPr>
                <w:b/>
                <w:bCs/>
              </w:rPr>
              <w:t>Nature of Component</w:t>
            </w:r>
          </w:p>
        </w:tc>
      </w:tr>
      <w:tr w:rsidR="005A1319" w:rsidTr="005A1319">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Mid-term Exam</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rsidP="000A4CE9">
            <w:pPr>
              <w:jc w:val="center"/>
            </w:pPr>
            <w:r>
              <w:t>1.5 hrs.</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30%</w:t>
            </w:r>
          </w:p>
        </w:tc>
        <w:tc>
          <w:tcPr>
            <w:tcW w:w="1257" w:type="dxa"/>
            <w:tcBorders>
              <w:top w:val="single" w:sz="4" w:space="0" w:color="auto"/>
              <w:left w:val="single" w:sz="4" w:space="0" w:color="auto"/>
              <w:bottom w:val="single" w:sz="4" w:space="0" w:color="auto"/>
              <w:right w:val="single" w:sz="4" w:space="0" w:color="auto"/>
            </w:tcBorders>
          </w:tcPr>
          <w:p w:rsidR="005A1319" w:rsidRPr="005A1319" w:rsidRDefault="005A1319">
            <w:pPr>
              <w:jc w:val="center"/>
              <w:rPr>
                <w:sz w:val="20"/>
              </w:rPr>
            </w:pPr>
            <w:r w:rsidRPr="005A1319">
              <w:rPr>
                <w:sz w:val="20"/>
              </w:rPr>
              <w:t>4/10, 9.00 -- 10.30 AM</w:t>
            </w:r>
          </w:p>
        </w:tc>
        <w:tc>
          <w:tcPr>
            <w:tcW w:w="1421" w:type="dxa"/>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Closed Book</w:t>
            </w:r>
          </w:p>
        </w:tc>
      </w:tr>
      <w:tr w:rsidR="005A1319" w:rsidTr="005A1319">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Group Projects</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rsidP="000A4CE9">
            <w:pPr>
              <w:jc w:val="center"/>
            </w:pPr>
            <w:r>
              <w:t>TBA</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20%</w:t>
            </w:r>
          </w:p>
        </w:tc>
        <w:tc>
          <w:tcPr>
            <w:tcW w:w="1257" w:type="dxa"/>
            <w:tcBorders>
              <w:top w:val="single" w:sz="4" w:space="0" w:color="auto"/>
              <w:left w:val="single" w:sz="4" w:space="0" w:color="auto"/>
              <w:bottom w:val="single" w:sz="4" w:space="0" w:color="auto"/>
              <w:right w:val="single" w:sz="4" w:space="0" w:color="auto"/>
            </w:tcBorders>
          </w:tcPr>
          <w:p w:rsidR="005A1319" w:rsidRPr="005A1319" w:rsidRDefault="005A1319">
            <w:pPr>
              <w:jc w:val="center"/>
              <w:rPr>
                <w:sz w:val="20"/>
              </w:rPr>
            </w:pPr>
          </w:p>
        </w:tc>
        <w:tc>
          <w:tcPr>
            <w:tcW w:w="1421" w:type="dxa"/>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Open Book</w:t>
            </w:r>
          </w:p>
        </w:tc>
      </w:tr>
      <w:tr w:rsidR="005A1319" w:rsidTr="005A1319">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Quizzes</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rsidP="000A4CE9">
            <w:pPr>
              <w:jc w:val="center"/>
            </w:pPr>
            <w:r>
              <w:t>TBA</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10%</w:t>
            </w:r>
          </w:p>
        </w:tc>
        <w:tc>
          <w:tcPr>
            <w:tcW w:w="1257" w:type="dxa"/>
            <w:tcBorders>
              <w:top w:val="single" w:sz="4" w:space="0" w:color="auto"/>
              <w:left w:val="single" w:sz="4" w:space="0" w:color="auto"/>
              <w:bottom w:val="single" w:sz="4" w:space="0" w:color="auto"/>
              <w:right w:val="single" w:sz="4" w:space="0" w:color="auto"/>
            </w:tcBorders>
          </w:tcPr>
          <w:p w:rsidR="005A1319" w:rsidRPr="005A1319" w:rsidRDefault="005A1319">
            <w:pPr>
              <w:jc w:val="center"/>
              <w:rPr>
                <w:sz w:val="20"/>
              </w:rPr>
            </w:pPr>
          </w:p>
        </w:tc>
        <w:tc>
          <w:tcPr>
            <w:tcW w:w="1421" w:type="dxa"/>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Closed Book</w:t>
            </w:r>
          </w:p>
        </w:tc>
      </w:tr>
      <w:tr w:rsidR="005A1319" w:rsidTr="005A1319">
        <w:trPr>
          <w:trHeight w:val="530"/>
          <w:jc w:val="center"/>
        </w:trPr>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proofErr w:type="spellStart"/>
            <w:r>
              <w:t>Compre</w:t>
            </w:r>
            <w:proofErr w:type="spellEnd"/>
            <w:r>
              <w:t>. Exam</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rsidP="000A4CE9">
            <w:pPr>
              <w:jc w:val="center"/>
            </w:pPr>
            <w:r>
              <w:t>3 hrs.</w:t>
            </w:r>
          </w:p>
        </w:tc>
        <w:tc>
          <w:tcPr>
            <w:tcW w:w="0" w:type="auto"/>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40%</w:t>
            </w:r>
          </w:p>
        </w:tc>
        <w:tc>
          <w:tcPr>
            <w:tcW w:w="1257" w:type="dxa"/>
            <w:tcBorders>
              <w:top w:val="single" w:sz="4" w:space="0" w:color="auto"/>
              <w:left w:val="single" w:sz="4" w:space="0" w:color="auto"/>
              <w:bottom w:val="single" w:sz="4" w:space="0" w:color="auto"/>
              <w:right w:val="single" w:sz="4" w:space="0" w:color="auto"/>
            </w:tcBorders>
          </w:tcPr>
          <w:p w:rsidR="005A1319" w:rsidRPr="005A1319" w:rsidRDefault="005A1319">
            <w:pPr>
              <w:jc w:val="center"/>
              <w:rPr>
                <w:sz w:val="20"/>
              </w:rPr>
            </w:pPr>
            <w:r w:rsidRPr="005A1319">
              <w:rPr>
                <w:sz w:val="20"/>
              </w:rPr>
              <w:t>11/12 FN</w:t>
            </w:r>
          </w:p>
        </w:tc>
        <w:tc>
          <w:tcPr>
            <w:tcW w:w="1421" w:type="dxa"/>
            <w:tcBorders>
              <w:top w:val="single" w:sz="4" w:space="0" w:color="auto"/>
              <w:left w:val="single" w:sz="4" w:space="0" w:color="auto"/>
              <w:bottom w:val="single" w:sz="4" w:space="0" w:color="auto"/>
              <w:right w:val="single" w:sz="4" w:space="0" w:color="auto"/>
            </w:tcBorders>
            <w:vAlign w:val="center"/>
          </w:tcPr>
          <w:p w:rsidR="005A1319" w:rsidRDefault="005A1319">
            <w:pPr>
              <w:jc w:val="center"/>
            </w:pPr>
            <w:r>
              <w:t>Closed Book (20%)</w:t>
            </w:r>
          </w:p>
          <w:p w:rsidR="005A1319" w:rsidRDefault="005A1319">
            <w:pPr>
              <w:jc w:val="center"/>
            </w:pPr>
            <w:r>
              <w:t>Open Book (20%)</w:t>
            </w:r>
          </w:p>
        </w:tc>
      </w:tr>
    </w:tbl>
    <w:p w:rsidR="00AD25E1" w:rsidRDefault="00AD25E1">
      <w:pPr>
        <w:jc w:val="both"/>
      </w:pPr>
    </w:p>
    <w:p w:rsidR="00AD25E1" w:rsidRDefault="00AD25E1">
      <w:pPr>
        <w:jc w:val="both"/>
      </w:pPr>
      <w:r>
        <w:rPr>
          <w:b/>
          <w:bCs/>
        </w:rPr>
        <w:t>Chamber Consultation Hour:</w:t>
      </w:r>
      <w:r w:rsidR="00AF125F">
        <w:t xml:space="preserve"> </w:t>
      </w:r>
      <w:r w:rsidR="00DA423E">
        <w:t xml:space="preserve">TBA.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be displayed on CMS and Economics</w:t>
      </w:r>
      <w:r w:rsidR="00DA423E">
        <w:t xml:space="preserve"> &amp; Finance Notice Board.</w:t>
      </w:r>
    </w:p>
    <w:p w:rsidR="00DA423E" w:rsidRDefault="00A44798" w:rsidP="00DA423E">
      <w:pPr>
        <w:adjustRightInd w:val="0"/>
        <w:spacing w:after="240" w:line="276" w:lineRule="auto"/>
        <w:jc w:val="both"/>
      </w:pPr>
      <w:r w:rsidRPr="00A44798">
        <w:rPr>
          <w:b/>
        </w:rPr>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5D1D36" w:rsidRDefault="005D1D36" w:rsidP="005D1D36">
      <w:pPr>
        <w:pStyle w:val="List"/>
        <w:ind w:left="0" w:firstLine="0"/>
        <w:jc w:val="both"/>
      </w:pPr>
      <w:r>
        <w:rPr>
          <w:b/>
          <w:spacing w:val="-2"/>
          <w:sz w:val="24"/>
        </w:rPr>
        <w:t>Academic Honesty and Integrity Policy:</w:t>
      </w:r>
      <w:r>
        <w:rPr>
          <w:spacing w:val="-2"/>
          <w:sz w:val="24"/>
        </w:rPr>
        <w:t xml:space="preserve"> Academic honesty and integrity are to be maintained by all the students throughout the semester and no type of academic dishonesty is acceptable.</w:t>
      </w:r>
    </w:p>
    <w:p w:rsidR="005D1D36" w:rsidRDefault="005D1D36" w:rsidP="00DA423E">
      <w:pPr>
        <w:adjustRightInd w:val="0"/>
        <w:spacing w:after="240" w:line="276" w:lineRule="auto"/>
        <w:jc w:val="both"/>
        <w:rPr>
          <w:b/>
        </w:rPr>
      </w:pPr>
    </w:p>
    <w:p w:rsidR="00A44798" w:rsidRPr="00A44798" w:rsidRDefault="00A44798">
      <w:pPr>
        <w:jc w:val="both"/>
        <w:rPr>
          <w:b/>
        </w:rPr>
      </w:pPr>
    </w:p>
    <w:p w:rsidR="00AD25E1" w:rsidRDefault="00AD25E1" w:rsidP="00DA423E">
      <w:pPr>
        <w:rPr>
          <w:b/>
          <w:bCs/>
        </w:rPr>
      </w:pPr>
      <w:r>
        <w:rPr>
          <w:b/>
          <w:bCs/>
        </w:rPr>
        <w:lastRenderedPageBreak/>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DDA" w:rsidRDefault="00A52DDA" w:rsidP="00EB2F06">
      <w:r>
        <w:separator/>
      </w:r>
    </w:p>
  </w:endnote>
  <w:endnote w:type="continuationSeparator" w:id="0">
    <w:p w:rsidR="00A52DDA" w:rsidRDefault="00A52DD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DDA" w:rsidRDefault="00A52DDA" w:rsidP="00EB2F06">
      <w:r>
        <w:separator/>
      </w:r>
    </w:p>
  </w:footnote>
  <w:footnote w:type="continuationSeparator" w:id="0">
    <w:p w:rsidR="00A52DDA" w:rsidRDefault="00A52DD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A4CE9"/>
    <w:rsid w:val="000D0C39"/>
    <w:rsid w:val="00167B88"/>
    <w:rsid w:val="0021277E"/>
    <w:rsid w:val="002169B8"/>
    <w:rsid w:val="00217EB9"/>
    <w:rsid w:val="00222682"/>
    <w:rsid w:val="00240A50"/>
    <w:rsid w:val="00251FD3"/>
    <w:rsid w:val="00256511"/>
    <w:rsid w:val="002909CD"/>
    <w:rsid w:val="0029648E"/>
    <w:rsid w:val="002F1369"/>
    <w:rsid w:val="003558C3"/>
    <w:rsid w:val="003D6BA8"/>
    <w:rsid w:val="003F66A8"/>
    <w:rsid w:val="004571B3"/>
    <w:rsid w:val="005053E8"/>
    <w:rsid w:val="00507883"/>
    <w:rsid w:val="00507A43"/>
    <w:rsid w:val="0051535D"/>
    <w:rsid w:val="0056064F"/>
    <w:rsid w:val="00562598"/>
    <w:rsid w:val="00562AB6"/>
    <w:rsid w:val="00576A69"/>
    <w:rsid w:val="005A1319"/>
    <w:rsid w:val="005C5B22"/>
    <w:rsid w:val="005C6693"/>
    <w:rsid w:val="005D1D36"/>
    <w:rsid w:val="00670BDE"/>
    <w:rsid w:val="00681A8A"/>
    <w:rsid w:val="007543E4"/>
    <w:rsid w:val="007D58BE"/>
    <w:rsid w:val="007E402E"/>
    <w:rsid w:val="008005D9"/>
    <w:rsid w:val="00831DD5"/>
    <w:rsid w:val="008A2200"/>
    <w:rsid w:val="00903DE7"/>
    <w:rsid w:val="00944887"/>
    <w:rsid w:val="0097488C"/>
    <w:rsid w:val="00983916"/>
    <w:rsid w:val="009B48FD"/>
    <w:rsid w:val="009E3708"/>
    <w:rsid w:val="00A44798"/>
    <w:rsid w:val="00A52DDA"/>
    <w:rsid w:val="00AD25E1"/>
    <w:rsid w:val="00AF125F"/>
    <w:rsid w:val="00B23878"/>
    <w:rsid w:val="00B55284"/>
    <w:rsid w:val="00B86684"/>
    <w:rsid w:val="00BA568D"/>
    <w:rsid w:val="00C338D9"/>
    <w:rsid w:val="00C6663B"/>
    <w:rsid w:val="00CF21AC"/>
    <w:rsid w:val="00D036CE"/>
    <w:rsid w:val="00D700DC"/>
    <w:rsid w:val="00DA1841"/>
    <w:rsid w:val="00DA423E"/>
    <w:rsid w:val="00DB7398"/>
    <w:rsid w:val="00DD7A77"/>
    <w:rsid w:val="00DE3D84"/>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45ED19"/>
  <w15:docId w15:val="{EB36F62E-E1F0-4F26-AEE2-C827E11A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 w:type="paragraph" w:styleId="List">
    <w:name w:val="List"/>
    <w:basedOn w:val="Normal"/>
    <w:semiHidden/>
    <w:unhideWhenUsed/>
    <w:rsid w:val="005D1D36"/>
    <w:pPr>
      <w:suppressAutoHyphens/>
      <w:overflowPunct w:val="0"/>
      <w:autoSpaceDE w:val="0"/>
      <w:ind w:left="360" w:hanging="360"/>
    </w:pPr>
    <w:rPr>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03866655">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2019-07-23T05:04:00Z</dcterms:created>
  <dcterms:modified xsi:type="dcterms:W3CDTF">2019-07-30T11:54:00Z</dcterms:modified>
</cp:coreProperties>
</file>