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18" w:rsidRPr="00721CB6" w:rsidRDefault="00CF1218">
      <w:pPr>
        <w:suppressAutoHyphens/>
        <w:spacing w:before="60" w:after="60"/>
        <w:jc w:val="center"/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</w:pPr>
      <w:r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>BIRLA INSTITUTE OF TECHNOLOGY AND SCIENCE, PILANI</w:t>
      </w:r>
      <w:r w:rsidR="00822336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 xml:space="preserve"> </w:t>
      </w:r>
    </w:p>
    <w:p w:rsidR="00822336" w:rsidRPr="00721CB6" w:rsidRDefault="00822336">
      <w:pPr>
        <w:suppressAutoHyphens/>
        <w:spacing w:before="60" w:after="60"/>
        <w:jc w:val="center"/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</w:pPr>
      <w:r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>Hyderabad Campus</w:t>
      </w:r>
    </w:p>
    <w:p w:rsidR="00CF1218" w:rsidRPr="00721CB6" w:rsidRDefault="000D36A7">
      <w:pPr>
        <w:suppressAutoHyphens/>
        <w:spacing w:before="60" w:after="60"/>
        <w:jc w:val="center"/>
        <w:rPr>
          <w:rFonts w:ascii="Times New Roman" w:hAnsi="Times New Roman"/>
          <w:b/>
          <w:color w:val="000000" w:themeColor="text1"/>
          <w:spacing w:val="-2"/>
          <w:sz w:val="22"/>
          <w:szCs w:val="22"/>
          <w:lang w:val="fr-FR"/>
        </w:rPr>
      </w:pPr>
      <w:r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  <w:lang w:val="fr-FR"/>
        </w:rPr>
        <w:t>SECOND SEMESTER 2019-20</w:t>
      </w:r>
    </w:p>
    <w:p w:rsidR="00CF1218" w:rsidRPr="00721CB6" w:rsidRDefault="00CF1218">
      <w:pPr>
        <w:suppressAutoHyphens/>
        <w:spacing w:before="60" w:after="60"/>
        <w:jc w:val="center"/>
        <w:rPr>
          <w:rFonts w:ascii="Times New Roman" w:hAnsi="Times New Roman"/>
          <w:b/>
          <w:color w:val="000000" w:themeColor="text1"/>
          <w:spacing w:val="-2"/>
          <w:sz w:val="22"/>
          <w:szCs w:val="22"/>
          <w:u w:val="single"/>
          <w:lang w:val="fr-FR"/>
        </w:rPr>
      </w:pPr>
      <w:r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  <w:u w:val="single"/>
          <w:lang w:val="fr-FR"/>
        </w:rPr>
        <w:t>Course Handout (Part II)</w:t>
      </w:r>
    </w:p>
    <w:p w:rsidR="00931CF9" w:rsidRPr="00721CB6" w:rsidRDefault="002B4047" w:rsidP="00EE2BF0">
      <w:pPr>
        <w:suppressAutoHyphens/>
        <w:ind w:left="7200" w:firstLine="720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Date:</w:t>
      </w:r>
      <w:r w:rsidR="00CE6FF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r w:rsidR="000D36A7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0</w:t>
      </w:r>
      <w:r w:rsidR="00B14574">
        <w:rPr>
          <w:rFonts w:ascii="Times New Roman" w:hAnsi="Times New Roman"/>
          <w:color w:val="000000" w:themeColor="text1"/>
          <w:spacing w:val="-2"/>
          <w:sz w:val="22"/>
          <w:szCs w:val="22"/>
        </w:rPr>
        <w:t>6</w:t>
      </w:r>
      <w:r w:rsidR="000D36A7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/</w:t>
      </w:r>
      <w:r w:rsidR="00B14574">
        <w:rPr>
          <w:rFonts w:ascii="Times New Roman" w:hAnsi="Times New Roman"/>
          <w:color w:val="000000" w:themeColor="text1"/>
          <w:spacing w:val="-2"/>
          <w:sz w:val="22"/>
          <w:szCs w:val="22"/>
        </w:rPr>
        <w:t>01</w:t>
      </w:r>
      <w:r w:rsidR="000D36A7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/20</w:t>
      </w:r>
      <w:r w:rsidR="00B14574">
        <w:rPr>
          <w:rFonts w:ascii="Times New Roman" w:hAnsi="Times New Roman"/>
          <w:color w:val="000000" w:themeColor="text1"/>
          <w:spacing w:val="-2"/>
          <w:sz w:val="22"/>
          <w:szCs w:val="22"/>
        </w:rPr>
        <w:t>20</w:t>
      </w:r>
    </w:p>
    <w:p w:rsidR="00CF1218" w:rsidRPr="00721CB6" w:rsidRDefault="002B4047" w:rsidP="00EE2BF0">
      <w:pPr>
        <w:suppressAutoHyphens/>
        <w:ind w:left="7200" w:firstLine="720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</w:p>
    <w:p w:rsidR="00CF1218" w:rsidRPr="00721CB6" w:rsidRDefault="00CF1218">
      <w:pPr>
        <w:suppressAutoHyphens/>
        <w:jc w:val="both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In addition to part </w:t>
      </w: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noBreakHyphen/>
        <w:t xml:space="preserve">I (General Handout for all courses appended </w:t>
      </w:r>
      <w:r w:rsidR="00B14E32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to the</w:t>
      </w: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time table) this portion gives </w:t>
      </w:r>
      <w:r w:rsidR="00B14E32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further specific details</w:t>
      </w: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regarding the course.</w:t>
      </w:r>
    </w:p>
    <w:p w:rsidR="00CF1218" w:rsidRPr="00721CB6" w:rsidRDefault="00CF1218">
      <w:pPr>
        <w:suppressAutoHyphens/>
        <w:jc w:val="both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</w:p>
    <w:p w:rsidR="00CF1218" w:rsidRPr="00721CB6" w:rsidRDefault="00CF1218">
      <w:pPr>
        <w:suppressAutoHyphens/>
        <w:jc w:val="both"/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</w:pPr>
      <w:r w:rsidRPr="00721CB6">
        <w:rPr>
          <w:rFonts w:ascii="Times New Roman" w:hAnsi="Times New Roman"/>
          <w:b/>
          <w:i/>
          <w:color w:val="000000" w:themeColor="text1"/>
          <w:spacing w:val="-2"/>
          <w:sz w:val="22"/>
          <w:szCs w:val="22"/>
        </w:rPr>
        <w:t>Course No.</w:t>
      </w:r>
      <w:r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 xml:space="preserve">              </w:t>
      </w:r>
      <w:r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ab/>
        <w:t xml:space="preserve">: </w:t>
      </w:r>
      <w:r w:rsidR="00822336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>CHE F419</w:t>
      </w:r>
    </w:p>
    <w:p w:rsidR="00CF1218" w:rsidRPr="00721CB6" w:rsidRDefault="00CF1218">
      <w:pPr>
        <w:suppressAutoHyphens/>
        <w:jc w:val="both"/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</w:pPr>
      <w:r w:rsidRPr="00721CB6">
        <w:rPr>
          <w:rFonts w:ascii="Times New Roman" w:hAnsi="Times New Roman"/>
          <w:b/>
          <w:i/>
          <w:color w:val="000000" w:themeColor="text1"/>
          <w:spacing w:val="-2"/>
          <w:sz w:val="22"/>
          <w:szCs w:val="22"/>
        </w:rPr>
        <w:t>Course Title</w:t>
      </w:r>
      <w:r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 xml:space="preserve">            </w:t>
      </w:r>
      <w:r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ab/>
        <w:t xml:space="preserve">: </w:t>
      </w:r>
      <w:r w:rsidR="00A45B99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>Chemical</w:t>
      </w:r>
      <w:r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 xml:space="preserve"> Process Technology</w:t>
      </w:r>
    </w:p>
    <w:p w:rsidR="00CF1218" w:rsidRPr="00721CB6" w:rsidRDefault="00CF1218">
      <w:pPr>
        <w:suppressAutoHyphens/>
        <w:jc w:val="both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  <w:r w:rsidRPr="00721CB6">
        <w:rPr>
          <w:rFonts w:ascii="Times New Roman" w:hAnsi="Times New Roman"/>
          <w:b/>
          <w:i/>
          <w:color w:val="000000" w:themeColor="text1"/>
          <w:spacing w:val="-2"/>
          <w:sz w:val="22"/>
          <w:szCs w:val="22"/>
        </w:rPr>
        <w:t>Instructor</w:t>
      </w:r>
      <w:r w:rsidRPr="00721CB6">
        <w:rPr>
          <w:rFonts w:ascii="Times New Roman" w:hAnsi="Times New Roman"/>
          <w:b/>
          <w:i/>
          <w:color w:val="000000" w:themeColor="text1"/>
          <w:spacing w:val="-2"/>
          <w:sz w:val="22"/>
          <w:szCs w:val="22"/>
        </w:rPr>
        <w:noBreakHyphen/>
        <w:t>in</w:t>
      </w:r>
      <w:r w:rsidRPr="00721CB6">
        <w:rPr>
          <w:rFonts w:ascii="Times New Roman" w:hAnsi="Times New Roman"/>
          <w:b/>
          <w:i/>
          <w:color w:val="000000" w:themeColor="text1"/>
          <w:spacing w:val="-2"/>
          <w:sz w:val="22"/>
          <w:szCs w:val="22"/>
        </w:rPr>
        <w:noBreakHyphen/>
        <w:t>charg</w:t>
      </w:r>
      <w:r w:rsidR="009E1815" w:rsidRPr="00721CB6">
        <w:rPr>
          <w:rFonts w:ascii="Times New Roman" w:hAnsi="Times New Roman"/>
          <w:b/>
          <w:i/>
          <w:color w:val="000000" w:themeColor="text1"/>
          <w:spacing w:val="-2"/>
          <w:sz w:val="22"/>
          <w:szCs w:val="22"/>
        </w:rPr>
        <w:t>e</w:t>
      </w:r>
      <w:r w:rsidR="00AD3F20" w:rsidRPr="00721CB6">
        <w:rPr>
          <w:rFonts w:ascii="Times New Roman" w:hAnsi="Times New Roman"/>
          <w:b/>
          <w:i/>
          <w:color w:val="000000" w:themeColor="text1"/>
          <w:spacing w:val="-2"/>
          <w:sz w:val="22"/>
          <w:szCs w:val="22"/>
        </w:rPr>
        <w:tab/>
      </w:r>
      <w:r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 xml:space="preserve">: </w:t>
      </w:r>
      <w:r w:rsidR="004D72D1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Ramesh Adusumalli</w:t>
      </w:r>
    </w:p>
    <w:p w:rsidR="00CF1218" w:rsidRPr="00721CB6" w:rsidRDefault="00CF1218">
      <w:pPr>
        <w:suppressAutoHyphens/>
        <w:jc w:val="both"/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</w:pPr>
    </w:p>
    <w:p w:rsidR="00CF1218" w:rsidRPr="00721CB6" w:rsidRDefault="00CF1218">
      <w:pPr>
        <w:suppressAutoHyphens/>
        <w:jc w:val="both"/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</w:pP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1.   </w:t>
      </w:r>
      <w:r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 xml:space="preserve">Scope and Objective of the </w:t>
      </w:r>
      <w:r w:rsidR="006F6AFF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>Course:</w:t>
      </w:r>
    </w:p>
    <w:p w:rsidR="00CF1218" w:rsidRPr="00721CB6" w:rsidRDefault="006F6AFF" w:rsidP="00CE6FFF">
      <w:pPr>
        <w:suppressAutoHyphens/>
        <w:jc w:val="both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The aim</w:t>
      </w:r>
      <w:r w:rsidR="00CF1218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of the course is to study the </w:t>
      </w: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general </w:t>
      </w:r>
      <w:r w:rsidR="007E341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principles involved in</w:t>
      </w:r>
      <w:r w:rsidR="00CF1218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Chemical manufacturing processes and their application </w:t>
      </w: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to specific chemical industries</w:t>
      </w:r>
      <w:r w:rsidR="00CE6FF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relevant to Indian economy</w:t>
      </w:r>
      <w:r w:rsidR="00CF1218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. </w:t>
      </w:r>
      <w:r w:rsidR="00CE6FF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Process technology </w:t>
      </w:r>
      <w:r w:rsidR="000D36A7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of</w:t>
      </w:r>
      <w:r w:rsidR="007E341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r w:rsidR="000D36A7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Vegetable </w:t>
      </w:r>
      <w:r w:rsidR="007E341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oil</w:t>
      </w:r>
      <w:r w:rsidR="000D36A7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s</w:t>
      </w:r>
      <w:r w:rsidR="007E341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, </w:t>
      </w:r>
      <w:r w:rsidR="004755F0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Fertilizers</w:t>
      </w:r>
      <w:r w:rsidR="000D36A7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, P</w:t>
      </w:r>
      <w:r w:rsidR="007E341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ulp</w:t>
      </w:r>
      <w:r w:rsidR="000D36A7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/paper, C</w:t>
      </w:r>
      <w:r w:rsidR="007E341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ement</w:t>
      </w:r>
      <w:r w:rsidR="000D36A7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, Coal, Petroleum, Polymer</w:t>
      </w:r>
      <w:r w:rsidR="00CE6FF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and </w:t>
      </w:r>
      <w:r w:rsidR="000D36A7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Fibres are studied from raw material to product. </w:t>
      </w:r>
      <w:r w:rsidR="00CF1218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Emphasis </w:t>
      </w: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is placed on </w:t>
      </w:r>
      <w:r w:rsidR="00CE6FF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understanding the f</w:t>
      </w: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low</w:t>
      </w:r>
      <w:r w:rsidR="00CF1218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sheet</w:t>
      </w:r>
      <w:r w:rsidR="00CE6FF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s</w:t>
      </w:r>
      <w:r w:rsidR="006946F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.</w:t>
      </w:r>
    </w:p>
    <w:p w:rsidR="004755F0" w:rsidRPr="00721CB6" w:rsidRDefault="004755F0" w:rsidP="00CE6FFF">
      <w:pPr>
        <w:suppressAutoHyphens/>
        <w:jc w:val="both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</w:p>
    <w:p w:rsidR="004755F0" w:rsidRPr="00721CB6" w:rsidRDefault="004755F0" w:rsidP="004755F0">
      <w:pPr>
        <w:spacing w:before="180" w:after="60"/>
        <w:ind w:left="425" w:hanging="425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721CB6">
        <w:rPr>
          <w:rFonts w:ascii="Times New Roman" w:hAnsi="Times New Roman"/>
          <w:b/>
          <w:bCs/>
          <w:color w:val="000000" w:themeColor="text1"/>
          <w:sz w:val="22"/>
          <w:szCs w:val="22"/>
        </w:rPr>
        <w:t>2. Learning Outcomes:</w:t>
      </w:r>
    </w:p>
    <w:p w:rsidR="004755F0" w:rsidRPr="00721CB6" w:rsidRDefault="004755F0" w:rsidP="004755F0">
      <w:pPr>
        <w:pStyle w:val="ListParagraph"/>
        <w:numPr>
          <w:ilvl w:val="0"/>
          <w:numId w:val="3"/>
        </w:numPr>
        <w:ind w:left="1138"/>
        <w:rPr>
          <w:b/>
          <w:bCs/>
          <w:color w:val="000000" w:themeColor="text1"/>
          <w:sz w:val="22"/>
          <w:szCs w:val="22"/>
        </w:rPr>
      </w:pPr>
      <w:r w:rsidRPr="00721CB6">
        <w:rPr>
          <w:bCs/>
          <w:color w:val="000000" w:themeColor="text1"/>
          <w:sz w:val="22"/>
          <w:szCs w:val="22"/>
        </w:rPr>
        <w:t xml:space="preserve">Understand the fundamentals of Unit operations and Unit processes involved in Chemical process technologies </w:t>
      </w:r>
    </w:p>
    <w:p w:rsidR="004755F0" w:rsidRPr="00721CB6" w:rsidRDefault="00721CB6" w:rsidP="004755F0">
      <w:pPr>
        <w:pStyle w:val="ListParagraph"/>
        <w:numPr>
          <w:ilvl w:val="0"/>
          <w:numId w:val="3"/>
        </w:numPr>
        <w:ind w:left="1138"/>
        <w:rPr>
          <w:b/>
          <w:bCs/>
          <w:color w:val="000000" w:themeColor="text1"/>
          <w:sz w:val="22"/>
          <w:szCs w:val="22"/>
        </w:rPr>
      </w:pPr>
      <w:r w:rsidRPr="00721CB6">
        <w:rPr>
          <w:bCs/>
          <w:color w:val="000000" w:themeColor="text1"/>
          <w:sz w:val="22"/>
          <w:szCs w:val="22"/>
        </w:rPr>
        <w:t>Apply the knowledge if Separation processes and Reaction Engineering in understating the chemical process</w:t>
      </w:r>
    </w:p>
    <w:p w:rsidR="004755F0" w:rsidRPr="00721CB6" w:rsidRDefault="00721CB6" w:rsidP="004755F0">
      <w:pPr>
        <w:pStyle w:val="ListParagraph"/>
        <w:numPr>
          <w:ilvl w:val="0"/>
          <w:numId w:val="3"/>
        </w:numPr>
        <w:ind w:left="1138"/>
        <w:rPr>
          <w:b/>
          <w:bCs/>
          <w:color w:val="000000" w:themeColor="text1"/>
          <w:sz w:val="22"/>
          <w:szCs w:val="22"/>
        </w:rPr>
      </w:pPr>
      <w:r w:rsidRPr="00721CB6">
        <w:rPr>
          <w:bCs/>
          <w:color w:val="000000" w:themeColor="text1"/>
          <w:sz w:val="22"/>
          <w:szCs w:val="22"/>
        </w:rPr>
        <w:t xml:space="preserve">Understand the Engineering problems in processing of chemical products </w:t>
      </w:r>
    </w:p>
    <w:p w:rsidR="004755F0" w:rsidRPr="00721CB6" w:rsidRDefault="004755F0" w:rsidP="004755F0">
      <w:pPr>
        <w:pStyle w:val="ListParagraph"/>
        <w:numPr>
          <w:ilvl w:val="0"/>
          <w:numId w:val="3"/>
        </w:numPr>
        <w:ind w:left="1138"/>
        <w:rPr>
          <w:b/>
          <w:bCs/>
          <w:color w:val="000000" w:themeColor="text1"/>
          <w:sz w:val="22"/>
          <w:szCs w:val="22"/>
        </w:rPr>
      </w:pPr>
      <w:r w:rsidRPr="00721CB6">
        <w:rPr>
          <w:bCs/>
          <w:color w:val="000000" w:themeColor="text1"/>
          <w:sz w:val="22"/>
          <w:szCs w:val="22"/>
        </w:rPr>
        <w:t xml:space="preserve">Understand the need for </w:t>
      </w:r>
      <w:r w:rsidR="00721CB6" w:rsidRPr="00721CB6">
        <w:rPr>
          <w:bCs/>
          <w:color w:val="000000" w:themeColor="text1"/>
          <w:sz w:val="22"/>
          <w:szCs w:val="22"/>
        </w:rPr>
        <w:t>flow sheets in manufacturing a product (like cement, paper)</w:t>
      </w:r>
    </w:p>
    <w:p w:rsidR="004755F0" w:rsidRPr="00721CB6" w:rsidRDefault="004755F0" w:rsidP="00CE6FFF">
      <w:pPr>
        <w:suppressAutoHyphens/>
        <w:jc w:val="both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</w:p>
    <w:p w:rsidR="00CF1218" w:rsidRPr="00721CB6" w:rsidRDefault="00CF1218">
      <w:pPr>
        <w:suppressAutoHyphens/>
        <w:jc w:val="both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</w:p>
    <w:p w:rsidR="00CF1218" w:rsidRPr="00721CB6" w:rsidRDefault="00721CB6">
      <w:pPr>
        <w:suppressAutoHyphens/>
        <w:jc w:val="both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  <w:r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3. </w:t>
      </w:r>
      <w:r w:rsidR="00CF1218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r w:rsidR="006F6AFF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>Text Book:</w:t>
      </w:r>
      <w:r w:rsidR="00CF1218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r w:rsidR="006F6AF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“Dryden’s </w:t>
      </w:r>
      <w:r w:rsidR="006F6AFF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>Outlines</w:t>
      </w:r>
      <w:r w:rsidR="00CF1218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 xml:space="preserve"> of Chemical Technology</w:t>
      </w:r>
      <w:r w:rsidR="00CF1218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for the 21st Century" Edited </w:t>
      </w:r>
      <w:r w:rsidR="006F6AF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by M</w:t>
      </w:r>
      <w:r w:rsidR="00CF1218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.</w:t>
      </w:r>
      <w:r w:rsidR="006F6AF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r w:rsidR="00CF1218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Gopala Rao and </w:t>
      </w:r>
      <w:r w:rsidR="006F6AF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Marshall Sittig</w:t>
      </w:r>
      <w:r w:rsidR="00CE6FF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. East West Press, 3rd Ed., 2010</w:t>
      </w:r>
      <w:r w:rsidR="00CF1218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.</w:t>
      </w:r>
    </w:p>
    <w:p w:rsidR="006946FF" w:rsidRPr="00721CB6" w:rsidRDefault="006946FF">
      <w:pPr>
        <w:suppressAutoHyphens/>
        <w:jc w:val="both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</w:p>
    <w:p w:rsidR="00CF1218" w:rsidRPr="00721CB6" w:rsidRDefault="00721CB6" w:rsidP="00721CB6">
      <w:pPr>
        <w:suppressAutoHyphens/>
        <w:jc w:val="both"/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</w:pPr>
      <w:r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r w:rsidR="00CF1218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 xml:space="preserve">Reference </w:t>
      </w:r>
      <w:r w:rsidR="006F6AFF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>Books:</w:t>
      </w:r>
      <w:r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 xml:space="preserve"> </w:t>
      </w:r>
      <w:r w:rsidR="00F25BED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George T. Austin, </w:t>
      </w:r>
      <w:r w:rsidR="00CF1218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Shreve’s Chemical Process Industries by, </w:t>
      </w:r>
      <w:r w:rsidR="006F6AF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McGraw Hill, 5th</w:t>
      </w:r>
      <w:r w:rsidR="00CF1218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Edn., 1984.</w:t>
      </w:r>
    </w:p>
    <w:p w:rsidR="00F25BED" w:rsidRPr="00721CB6" w:rsidRDefault="00F25BED" w:rsidP="00E44655">
      <w:pPr>
        <w:suppressAutoHyphens/>
        <w:ind w:left="300"/>
        <w:jc w:val="both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</w:p>
    <w:p w:rsidR="00CF1218" w:rsidRPr="00721CB6" w:rsidRDefault="00CF1218" w:rsidP="00721CB6">
      <w:pPr>
        <w:pStyle w:val="ListParagraph"/>
        <w:numPr>
          <w:ilvl w:val="0"/>
          <w:numId w:val="4"/>
        </w:numPr>
        <w:suppressAutoHyphens/>
        <w:ind w:hanging="720"/>
        <w:rPr>
          <w:b/>
          <w:color w:val="000000" w:themeColor="text1"/>
          <w:spacing w:val="-2"/>
          <w:sz w:val="22"/>
          <w:szCs w:val="22"/>
        </w:rPr>
      </w:pPr>
      <w:r w:rsidRPr="00721CB6">
        <w:rPr>
          <w:b/>
          <w:color w:val="000000" w:themeColor="text1"/>
          <w:spacing w:val="-2"/>
          <w:sz w:val="22"/>
          <w:szCs w:val="22"/>
        </w:rPr>
        <w:t xml:space="preserve">Course </w:t>
      </w:r>
      <w:r w:rsidR="006F6AFF" w:rsidRPr="00721CB6">
        <w:rPr>
          <w:b/>
          <w:color w:val="000000" w:themeColor="text1"/>
          <w:spacing w:val="-2"/>
          <w:sz w:val="22"/>
          <w:szCs w:val="22"/>
        </w:rPr>
        <w:t>Plan:</w:t>
      </w:r>
    </w:p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4"/>
        <w:gridCol w:w="2963"/>
        <w:gridCol w:w="4451"/>
        <w:gridCol w:w="1489"/>
      </w:tblGrid>
      <w:tr w:rsidR="00721CB6" w:rsidRPr="00721CB6" w:rsidTr="00495856">
        <w:tc>
          <w:tcPr>
            <w:tcW w:w="1154" w:type="dxa"/>
          </w:tcPr>
          <w:p w:rsidR="002558F9" w:rsidRPr="00721CB6" w:rsidRDefault="002558F9" w:rsidP="008025BA">
            <w:pP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Lect. No.</w:t>
            </w:r>
          </w:p>
        </w:tc>
        <w:tc>
          <w:tcPr>
            <w:tcW w:w="2963" w:type="dxa"/>
          </w:tcPr>
          <w:p w:rsidR="002558F9" w:rsidRPr="00721CB6" w:rsidRDefault="002558F9" w:rsidP="008025BA">
            <w:pP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Learning Objectives</w:t>
            </w:r>
          </w:p>
        </w:tc>
        <w:tc>
          <w:tcPr>
            <w:tcW w:w="4451" w:type="dxa"/>
          </w:tcPr>
          <w:p w:rsidR="002558F9" w:rsidRPr="00721CB6" w:rsidRDefault="002558F9" w:rsidP="008025BA">
            <w:pP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Topics to be covered</w:t>
            </w:r>
          </w:p>
        </w:tc>
        <w:tc>
          <w:tcPr>
            <w:tcW w:w="1489" w:type="dxa"/>
          </w:tcPr>
          <w:p w:rsidR="002558F9" w:rsidRPr="00721CB6" w:rsidRDefault="002558F9" w:rsidP="008025BA">
            <w:pP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Ref. Chap./Sec.#(Book)</w:t>
            </w:r>
          </w:p>
        </w:tc>
      </w:tr>
      <w:tr w:rsidR="00721CB6" w:rsidRPr="00721CB6" w:rsidTr="00495856">
        <w:tc>
          <w:tcPr>
            <w:tcW w:w="1154" w:type="dxa"/>
          </w:tcPr>
          <w:p w:rsidR="002558F9" w:rsidRPr="00721CB6" w:rsidRDefault="002558F9" w:rsidP="008025B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2963" w:type="dxa"/>
          </w:tcPr>
          <w:p w:rsidR="002558F9" w:rsidRPr="00721CB6" w:rsidRDefault="002558F9" w:rsidP="008025B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Overview of the course</w:t>
            </w:r>
          </w:p>
        </w:tc>
        <w:tc>
          <w:tcPr>
            <w:tcW w:w="4451" w:type="dxa"/>
          </w:tcPr>
          <w:p w:rsidR="002558F9" w:rsidRPr="00721CB6" w:rsidRDefault="002558F9" w:rsidP="008025B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558F9" w:rsidRPr="00721CB6" w:rsidRDefault="002558F9" w:rsidP="008025B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721CB6" w:rsidRPr="00721CB6" w:rsidTr="00495856">
        <w:trPr>
          <w:trHeight w:val="836"/>
        </w:trPr>
        <w:tc>
          <w:tcPr>
            <w:tcW w:w="1154" w:type="dxa"/>
          </w:tcPr>
          <w:p w:rsidR="002558F9" w:rsidRPr="00721CB6" w:rsidRDefault="00D55FD4" w:rsidP="008025B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963" w:type="dxa"/>
          </w:tcPr>
          <w:p w:rsidR="00D55FD4" w:rsidRPr="00721CB6" w:rsidRDefault="00D55FD4" w:rsidP="008025B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 know the present status of chemical industries in India</w:t>
            </w:r>
          </w:p>
        </w:tc>
        <w:tc>
          <w:tcPr>
            <w:tcW w:w="4451" w:type="dxa"/>
          </w:tcPr>
          <w:p w:rsidR="002558F9" w:rsidRPr="00721CB6" w:rsidRDefault="00D55FD4" w:rsidP="00D55FD4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Chemical Industries – Facts and figures</w:t>
            </w:r>
          </w:p>
        </w:tc>
        <w:tc>
          <w:tcPr>
            <w:tcW w:w="1489" w:type="dxa"/>
          </w:tcPr>
          <w:p w:rsidR="002558F9" w:rsidRPr="00721CB6" w:rsidRDefault="00D55FD4" w:rsidP="008025B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pacing w:val="-2"/>
                <w:sz w:val="22"/>
                <w:szCs w:val="22"/>
              </w:rPr>
              <w:t>Ch.IA</w:t>
            </w:r>
            <w:r w:rsidRPr="00721CB6">
              <w:rPr>
                <w:rFonts w:ascii="Times New Roman" w:hAnsi="Times New Roman"/>
                <w:color w:val="000000" w:themeColor="text1"/>
                <w:spacing w:val="-2"/>
                <w:sz w:val="22"/>
                <w:szCs w:val="22"/>
              </w:rPr>
              <w:noBreakHyphen/>
              <w:t>B, T1</w:t>
            </w:r>
          </w:p>
        </w:tc>
      </w:tr>
      <w:tr w:rsidR="00721CB6" w:rsidRPr="00721CB6" w:rsidTr="00495856">
        <w:tc>
          <w:tcPr>
            <w:tcW w:w="1154" w:type="dxa"/>
          </w:tcPr>
          <w:p w:rsidR="002558F9" w:rsidRPr="00721CB6" w:rsidRDefault="00D55FD4" w:rsidP="008025B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</w:t>
            </w:r>
            <w:r w:rsidR="004A4606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-</w:t>
            </w:r>
            <w:r w:rsidR="002029F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963" w:type="dxa"/>
          </w:tcPr>
          <w:p w:rsidR="002558F9" w:rsidRPr="00721CB6" w:rsidRDefault="00F25BED" w:rsidP="0044751B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To understand the </w:t>
            </w:r>
            <w:r w:rsidR="0044751B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Unit operations </w:t>
            </w:r>
          </w:p>
        </w:tc>
        <w:tc>
          <w:tcPr>
            <w:tcW w:w="4451" w:type="dxa"/>
          </w:tcPr>
          <w:p w:rsidR="00D55FD4" w:rsidRPr="00721CB6" w:rsidRDefault="0044751B" w:rsidP="008025B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Lab tour: Drying (Try drier), Filtration (rotary drum vacuum filtration), Sedimentation, Adsorption, Evaporation, Size reduction</w:t>
            </w:r>
            <w:r w:rsidR="00E87471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(fibres, particles), Size enlargement (Granulation)</w:t>
            </w:r>
          </w:p>
        </w:tc>
        <w:tc>
          <w:tcPr>
            <w:tcW w:w="1489" w:type="dxa"/>
          </w:tcPr>
          <w:p w:rsidR="002558F9" w:rsidRPr="00721CB6" w:rsidRDefault="00D55FD4" w:rsidP="008025B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pacing w:val="-2"/>
                <w:sz w:val="22"/>
                <w:szCs w:val="22"/>
              </w:rPr>
              <w:t>Ch.IC</w:t>
            </w:r>
            <w:r w:rsidRPr="00721CB6">
              <w:rPr>
                <w:rFonts w:ascii="Times New Roman" w:hAnsi="Times New Roman"/>
                <w:color w:val="000000" w:themeColor="text1"/>
                <w:spacing w:val="-2"/>
                <w:sz w:val="22"/>
                <w:szCs w:val="22"/>
              </w:rPr>
              <w:noBreakHyphen/>
              <w:t>D, T1</w:t>
            </w:r>
          </w:p>
        </w:tc>
      </w:tr>
      <w:tr w:rsidR="00721CB6" w:rsidRPr="00721CB6" w:rsidTr="00495856">
        <w:tc>
          <w:tcPr>
            <w:tcW w:w="1154" w:type="dxa"/>
          </w:tcPr>
          <w:p w:rsidR="007D018A" w:rsidRPr="00721CB6" w:rsidRDefault="002029FD" w:rsidP="007D018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5-6</w:t>
            </w:r>
          </w:p>
        </w:tc>
        <w:tc>
          <w:tcPr>
            <w:tcW w:w="2963" w:type="dxa"/>
          </w:tcPr>
          <w:p w:rsidR="007D018A" w:rsidRPr="00721CB6" w:rsidRDefault="007D018A" w:rsidP="007D018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 understand t</w:t>
            </w:r>
            <w:r w:rsidR="00D44D7E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he cement manufacturing process</w:t>
            </w:r>
          </w:p>
        </w:tc>
        <w:tc>
          <w:tcPr>
            <w:tcW w:w="4451" w:type="dxa"/>
          </w:tcPr>
          <w:p w:rsidR="007D018A" w:rsidRPr="00721CB6" w:rsidRDefault="00D44D7E" w:rsidP="00D44D7E">
            <w:pPr>
              <w:pStyle w:val="Heading1"/>
              <w:rPr>
                <w:color w:val="000000" w:themeColor="text1"/>
                <w:sz w:val="22"/>
                <w:szCs w:val="22"/>
              </w:rPr>
            </w:pPr>
            <w:r w:rsidRPr="00721CB6">
              <w:rPr>
                <w:color w:val="000000" w:themeColor="text1"/>
                <w:sz w:val="22"/>
                <w:szCs w:val="22"/>
              </w:rPr>
              <w:t>Cement properties, limestone beneficiation, Portland cement manufacturing</w:t>
            </w:r>
          </w:p>
        </w:tc>
        <w:tc>
          <w:tcPr>
            <w:tcW w:w="1489" w:type="dxa"/>
          </w:tcPr>
          <w:p w:rsidR="007D018A" w:rsidRPr="00721CB6" w:rsidRDefault="007D018A" w:rsidP="007D018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ChIIK, T1</w:t>
            </w:r>
          </w:p>
        </w:tc>
      </w:tr>
      <w:tr w:rsidR="00721CB6" w:rsidRPr="00721CB6" w:rsidTr="00495856">
        <w:tc>
          <w:tcPr>
            <w:tcW w:w="1154" w:type="dxa"/>
          </w:tcPr>
          <w:p w:rsidR="002558F9" w:rsidRPr="00721CB6" w:rsidRDefault="002029FD" w:rsidP="008025B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963" w:type="dxa"/>
          </w:tcPr>
          <w:p w:rsidR="002558F9" w:rsidRPr="00721CB6" w:rsidRDefault="00E44655" w:rsidP="00D44D7E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 understand the sulfuric acid production</w:t>
            </w:r>
            <w:r w:rsidR="00D44D7E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process</w:t>
            </w:r>
          </w:p>
        </w:tc>
        <w:tc>
          <w:tcPr>
            <w:tcW w:w="4451" w:type="dxa"/>
          </w:tcPr>
          <w:p w:rsidR="002558F9" w:rsidRPr="00721CB6" w:rsidRDefault="00D44D7E" w:rsidP="00D44D7E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Contact Process using SO2 and air</w:t>
            </w:r>
          </w:p>
        </w:tc>
        <w:tc>
          <w:tcPr>
            <w:tcW w:w="1489" w:type="dxa"/>
          </w:tcPr>
          <w:p w:rsidR="002558F9" w:rsidRPr="00721CB6" w:rsidRDefault="00E44655" w:rsidP="008025B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ChII A, T1; R1</w:t>
            </w:r>
          </w:p>
        </w:tc>
      </w:tr>
      <w:tr w:rsidR="00721CB6" w:rsidRPr="00721CB6" w:rsidTr="00495856">
        <w:tc>
          <w:tcPr>
            <w:tcW w:w="1154" w:type="dxa"/>
          </w:tcPr>
          <w:p w:rsidR="00E87471" w:rsidRPr="00721CB6" w:rsidRDefault="002029FD" w:rsidP="00E87471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8-9</w:t>
            </w:r>
          </w:p>
        </w:tc>
        <w:tc>
          <w:tcPr>
            <w:tcW w:w="2963" w:type="dxa"/>
          </w:tcPr>
          <w:p w:rsidR="00E87471" w:rsidRPr="00721CB6" w:rsidRDefault="00E87471" w:rsidP="008F5935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 understand the Nitrogen based fertilizers production</w:t>
            </w:r>
          </w:p>
        </w:tc>
        <w:tc>
          <w:tcPr>
            <w:tcW w:w="4451" w:type="dxa"/>
          </w:tcPr>
          <w:p w:rsidR="00E87471" w:rsidRPr="00721CB6" w:rsidRDefault="00E87471" w:rsidP="00E87471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Urea Production Processes; Ammonium Nitrate </w:t>
            </w:r>
            <w:r w:rsidR="008F5935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and Nitrolime 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Production Processes</w:t>
            </w:r>
          </w:p>
        </w:tc>
        <w:tc>
          <w:tcPr>
            <w:tcW w:w="1489" w:type="dxa"/>
          </w:tcPr>
          <w:p w:rsidR="00E87471" w:rsidRPr="00721CB6" w:rsidRDefault="00E87471" w:rsidP="00E87471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ChII E, T1; R1</w:t>
            </w:r>
          </w:p>
        </w:tc>
      </w:tr>
      <w:tr w:rsidR="00721CB6" w:rsidRPr="00721CB6" w:rsidTr="00495856">
        <w:tc>
          <w:tcPr>
            <w:tcW w:w="1154" w:type="dxa"/>
          </w:tcPr>
          <w:p w:rsidR="00E87471" w:rsidRPr="00721CB6" w:rsidRDefault="002029FD" w:rsidP="00E87471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10-12</w:t>
            </w:r>
          </w:p>
        </w:tc>
        <w:tc>
          <w:tcPr>
            <w:tcW w:w="2963" w:type="dxa"/>
          </w:tcPr>
          <w:p w:rsidR="00E87471" w:rsidRPr="00721CB6" w:rsidRDefault="00E87471" w:rsidP="00E87471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To understand the importance of NPK fertilizer and its production </w:t>
            </w:r>
          </w:p>
        </w:tc>
        <w:tc>
          <w:tcPr>
            <w:tcW w:w="4451" w:type="dxa"/>
          </w:tcPr>
          <w:p w:rsidR="00E87471" w:rsidRPr="00721CB6" w:rsidRDefault="007D018A" w:rsidP="008F5935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Production of Phosphoric acid, </w:t>
            </w:r>
            <w:r w:rsidR="008F5935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DAP; Superphosphate</w:t>
            </w:r>
          </w:p>
        </w:tc>
        <w:tc>
          <w:tcPr>
            <w:tcW w:w="1489" w:type="dxa"/>
          </w:tcPr>
          <w:p w:rsidR="00E87471" w:rsidRPr="00721CB6" w:rsidRDefault="00E87471" w:rsidP="00E87471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ChII F, T1; R1</w:t>
            </w:r>
          </w:p>
        </w:tc>
      </w:tr>
      <w:tr w:rsidR="00721CB6" w:rsidRPr="00721CB6" w:rsidTr="00495856">
        <w:tc>
          <w:tcPr>
            <w:tcW w:w="1154" w:type="dxa"/>
          </w:tcPr>
          <w:p w:rsidR="00BB1E2D" w:rsidRPr="00721CB6" w:rsidRDefault="002029FD" w:rsidP="00BB1E2D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lastRenderedPageBreak/>
              <w:t>13-15</w:t>
            </w:r>
          </w:p>
        </w:tc>
        <w:tc>
          <w:tcPr>
            <w:tcW w:w="2963" w:type="dxa"/>
          </w:tcPr>
          <w:p w:rsidR="00BB1E2D" w:rsidRPr="00721CB6" w:rsidRDefault="00BB1E2D" w:rsidP="007859FB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To understand the extraction of edible </w:t>
            </w:r>
            <w:r w:rsidR="007859FB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oils</w:t>
            </w:r>
          </w:p>
        </w:tc>
        <w:tc>
          <w:tcPr>
            <w:tcW w:w="4451" w:type="dxa"/>
          </w:tcPr>
          <w:p w:rsidR="00BB1E2D" w:rsidRPr="00721CB6" w:rsidRDefault="00BB1E2D" w:rsidP="00BB1E2D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Mechanical and solvent based extraction processes, Hydrogenation of </w:t>
            </w:r>
            <w:r w:rsidR="007859FB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vegetable 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oils, </w:t>
            </w:r>
            <w:r w:rsidR="007859FB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continuous process for 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Soap manufacturing</w:t>
            </w:r>
            <w:r w:rsidR="003A10A4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 GC of vegetable oils for identification</w:t>
            </w:r>
          </w:p>
        </w:tc>
        <w:tc>
          <w:tcPr>
            <w:tcW w:w="1489" w:type="dxa"/>
          </w:tcPr>
          <w:p w:rsidR="00BB1E2D" w:rsidRPr="00721CB6" w:rsidRDefault="00BB1E2D" w:rsidP="00BB1E2D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ChIII A, </w:t>
            </w:r>
            <w:r w:rsidR="007859FB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B, 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T1; R1</w:t>
            </w:r>
          </w:p>
        </w:tc>
      </w:tr>
      <w:tr w:rsidR="00721CB6" w:rsidRPr="00721CB6" w:rsidTr="00495856">
        <w:tc>
          <w:tcPr>
            <w:tcW w:w="1154" w:type="dxa"/>
          </w:tcPr>
          <w:p w:rsidR="00E87471" w:rsidRPr="00721CB6" w:rsidRDefault="002029FD" w:rsidP="00E87471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16-20</w:t>
            </w:r>
          </w:p>
        </w:tc>
        <w:tc>
          <w:tcPr>
            <w:tcW w:w="2963" w:type="dxa"/>
          </w:tcPr>
          <w:p w:rsidR="00E87471" w:rsidRPr="00721CB6" w:rsidRDefault="00E87471" w:rsidP="00E87471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 understand the pulp and paper production processes</w:t>
            </w:r>
          </w:p>
        </w:tc>
        <w:tc>
          <w:tcPr>
            <w:tcW w:w="4451" w:type="dxa"/>
          </w:tcPr>
          <w:p w:rsidR="00E87471" w:rsidRPr="00721CB6" w:rsidRDefault="007859FB" w:rsidP="007859FB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Cellulose raw materials</w:t>
            </w:r>
            <w:r w:rsidR="00E87471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used for pulp production, Mechanical Pulping; Kraft (sulfa</w:t>
            </w:r>
            <w:r w:rsidR="00E87471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te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</w:t>
            </w:r>
            <w:r w:rsidR="00E87471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Process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  <w:r w:rsidR="00E87471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Chemical recovery, </w:t>
            </w:r>
            <w:r w:rsidR="00E87471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Paper making, Production of lignin chemicals</w:t>
            </w:r>
            <w:r w:rsidR="007D018A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(dimethyl sulfide, dimethyl sulfoxide)</w:t>
            </w:r>
            <w:r w:rsidR="00E87471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 Production of recycled paper; MDF boards</w:t>
            </w:r>
          </w:p>
        </w:tc>
        <w:tc>
          <w:tcPr>
            <w:tcW w:w="1489" w:type="dxa"/>
          </w:tcPr>
          <w:p w:rsidR="00E87471" w:rsidRPr="00721CB6" w:rsidRDefault="00E87471" w:rsidP="00E87471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ChIII F, T1; R1, notes</w:t>
            </w:r>
          </w:p>
        </w:tc>
      </w:tr>
      <w:tr w:rsidR="00721CB6" w:rsidRPr="00721CB6" w:rsidTr="00495856">
        <w:tc>
          <w:tcPr>
            <w:tcW w:w="1154" w:type="dxa"/>
          </w:tcPr>
          <w:p w:rsidR="007D018A" w:rsidRPr="00721CB6" w:rsidRDefault="002029FD" w:rsidP="007D018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21-23</w:t>
            </w:r>
          </w:p>
        </w:tc>
        <w:tc>
          <w:tcPr>
            <w:tcW w:w="2963" w:type="dxa"/>
          </w:tcPr>
          <w:p w:rsidR="007D018A" w:rsidRPr="00721CB6" w:rsidRDefault="007D018A" w:rsidP="007D018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 understand the coal based technologies</w:t>
            </w:r>
          </w:p>
        </w:tc>
        <w:tc>
          <w:tcPr>
            <w:tcW w:w="4451" w:type="dxa"/>
          </w:tcPr>
          <w:p w:rsidR="007D018A" w:rsidRPr="00721CB6" w:rsidRDefault="007D018A" w:rsidP="007859FB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Coking of coal,</w:t>
            </w:r>
            <w:r w:rsidR="002A604F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Coal gasification, </w:t>
            </w:r>
            <w:r w:rsidR="007859FB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Hydrogenation of Coal, </w:t>
            </w:r>
            <w:r w:rsidR="002A604F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Ash</w:t>
            </w:r>
          </w:p>
        </w:tc>
        <w:tc>
          <w:tcPr>
            <w:tcW w:w="1489" w:type="dxa"/>
          </w:tcPr>
          <w:p w:rsidR="007D018A" w:rsidRPr="00721CB6" w:rsidRDefault="007D018A" w:rsidP="007D018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ChIII G, T1; </w:t>
            </w:r>
          </w:p>
        </w:tc>
      </w:tr>
      <w:tr w:rsidR="00721CB6" w:rsidRPr="00721CB6" w:rsidTr="00495856">
        <w:tc>
          <w:tcPr>
            <w:tcW w:w="1154" w:type="dxa"/>
          </w:tcPr>
          <w:p w:rsidR="002A604F" w:rsidRPr="00721CB6" w:rsidRDefault="002029FD" w:rsidP="002A604F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24-26</w:t>
            </w:r>
          </w:p>
        </w:tc>
        <w:tc>
          <w:tcPr>
            <w:tcW w:w="2963" w:type="dxa"/>
          </w:tcPr>
          <w:p w:rsidR="002A604F" w:rsidRPr="00721CB6" w:rsidRDefault="002A604F" w:rsidP="002A604F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 understand t</w:t>
            </w:r>
            <w:r w:rsidR="00531900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he crude oil refining processes</w:t>
            </w:r>
          </w:p>
        </w:tc>
        <w:tc>
          <w:tcPr>
            <w:tcW w:w="4451" w:type="dxa"/>
          </w:tcPr>
          <w:p w:rsidR="002A604F" w:rsidRPr="00721CB6" w:rsidRDefault="002A604F" w:rsidP="007859FB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Origin and classification of petroleum,; Refining</w:t>
            </w:r>
            <w:r w:rsidR="007859FB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operations (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atmo</w:t>
            </w:r>
            <w:r w:rsidR="007859FB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spheric and vacuum distillation), 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Catalytic cracking,  Reforming</w:t>
            </w:r>
          </w:p>
        </w:tc>
        <w:tc>
          <w:tcPr>
            <w:tcW w:w="1489" w:type="dxa"/>
          </w:tcPr>
          <w:p w:rsidR="002A604F" w:rsidRPr="00721CB6" w:rsidRDefault="002A604F" w:rsidP="002A604F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ChIII H, T1; </w:t>
            </w:r>
          </w:p>
        </w:tc>
      </w:tr>
      <w:tr w:rsidR="00721CB6" w:rsidRPr="00721CB6" w:rsidTr="00495856">
        <w:tc>
          <w:tcPr>
            <w:tcW w:w="1154" w:type="dxa"/>
          </w:tcPr>
          <w:p w:rsidR="002A604F" w:rsidRPr="00721CB6" w:rsidRDefault="002029FD" w:rsidP="002A604F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27-31</w:t>
            </w:r>
          </w:p>
        </w:tc>
        <w:tc>
          <w:tcPr>
            <w:tcW w:w="2963" w:type="dxa"/>
          </w:tcPr>
          <w:p w:rsidR="002A604F" w:rsidRPr="00721CB6" w:rsidRDefault="002A604F" w:rsidP="002A604F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 understand the petrochemical processes</w:t>
            </w:r>
          </w:p>
        </w:tc>
        <w:tc>
          <w:tcPr>
            <w:tcW w:w="4451" w:type="dxa"/>
          </w:tcPr>
          <w:p w:rsidR="002A604F" w:rsidRPr="00721CB6" w:rsidRDefault="002A604F" w:rsidP="00531900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Chemicals from C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1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compounds</w:t>
            </w:r>
            <w:r w:rsidR="00531900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(Formaldehyde, Choloroform and Carbon tetracholride)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, Chemicals from C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2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compounds</w:t>
            </w:r>
            <w:r w:rsidR="00531900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(Ethylene and acetylene production), Chemicals from C</w:t>
            </w:r>
            <w:r w:rsidR="00531900" w:rsidRPr="00721CB6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3</w:t>
            </w:r>
            <w:r w:rsidR="00531900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compounds</w:t>
            </w:r>
          </w:p>
        </w:tc>
        <w:tc>
          <w:tcPr>
            <w:tcW w:w="1489" w:type="dxa"/>
          </w:tcPr>
          <w:p w:rsidR="002A604F" w:rsidRPr="00721CB6" w:rsidRDefault="002A604F" w:rsidP="002A604F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</w:t>
            </w:r>
            <w:r w:rsidR="00531900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hIV B-D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, T1; </w:t>
            </w:r>
          </w:p>
        </w:tc>
      </w:tr>
      <w:tr w:rsidR="00721CB6" w:rsidRPr="00721CB6" w:rsidTr="00495856">
        <w:tc>
          <w:tcPr>
            <w:tcW w:w="1154" w:type="dxa"/>
          </w:tcPr>
          <w:p w:rsidR="00BB1E2D" w:rsidRPr="00721CB6" w:rsidRDefault="002029FD" w:rsidP="00BB1E2D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32-37</w:t>
            </w:r>
          </w:p>
        </w:tc>
        <w:tc>
          <w:tcPr>
            <w:tcW w:w="2963" w:type="dxa"/>
          </w:tcPr>
          <w:p w:rsidR="00BB1E2D" w:rsidRPr="00721CB6" w:rsidRDefault="00BB1E2D" w:rsidP="00BB1E2D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 understand the processes in polymer technology</w:t>
            </w:r>
            <w:r w:rsidR="003A10A4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(thermoplastics and thermosets</w:t>
            </w:r>
            <w:r w:rsidR="00531900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including Fibres</w:t>
            </w:r>
            <w:r w:rsidR="003A10A4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4451" w:type="dxa"/>
          </w:tcPr>
          <w:p w:rsidR="00BB1E2D" w:rsidRPr="00721CB6" w:rsidRDefault="004755F0" w:rsidP="004755F0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Modes of Polymerization, Structure, properties of polymers, </w:t>
            </w:r>
            <w:r w:rsidR="00BB1E2D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Processing of polyolefins (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</w:t>
            </w:r>
            <w:r w:rsidR="00BB1E2D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),  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PVC, </w:t>
            </w:r>
            <w:r w:rsidR="00BB1E2D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Phenol-formaldehyde</w:t>
            </w:r>
            <w:r w:rsidR="003A10A4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, Epoxy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. </w:t>
            </w:r>
            <w:r w:rsidR="00531900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Production of viscose/lyocell fibres, 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Nylon, Polyester,  </w:t>
            </w:r>
            <w:r w:rsidR="00531900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, Carbon fibres, 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Composites</w:t>
            </w:r>
          </w:p>
        </w:tc>
        <w:tc>
          <w:tcPr>
            <w:tcW w:w="1489" w:type="dxa"/>
          </w:tcPr>
          <w:p w:rsidR="00BB1E2D" w:rsidRPr="00721CB6" w:rsidRDefault="00BB1E2D" w:rsidP="00BB1E2D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ChV A-B, T1, </w:t>
            </w:r>
            <w:r w:rsidR="00531900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R1</w:t>
            </w:r>
            <w:r w:rsidR="004755F0"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, 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notes</w:t>
            </w:r>
          </w:p>
        </w:tc>
      </w:tr>
      <w:tr w:rsidR="00721CB6" w:rsidRPr="00721CB6" w:rsidTr="00495856">
        <w:tc>
          <w:tcPr>
            <w:tcW w:w="1154" w:type="dxa"/>
          </w:tcPr>
          <w:p w:rsidR="00BB1E2D" w:rsidRPr="00721CB6" w:rsidRDefault="002029FD" w:rsidP="00BB1E2D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38-40</w:t>
            </w:r>
          </w:p>
        </w:tc>
        <w:tc>
          <w:tcPr>
            <w:tcW w:w="2963" w:type="dxa"/>
          </w:tcPr>
          <w:p w:rsidR="00BB1E2D" w:rsidRPr="00721CB6" w:rsidRDefault="00BB1E2D" w:rsidP="00BB1E2D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To understand the aluminium manufacturing processes </w:t>
            </w:r>
          </w:p>
        </w:tc>
        <w:tc>
          <w:tcPr>
            <w:tcW w:w="4451" w:type="dxa"/>
          </w:tcPr>
          <w:p w:rsidR="00BB1E2D" w:rsidRPr="00721CB6" w:rsidRDefault="00BB1E2D" w:rsidP="00BB1E2D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Purification of alumina from Bauxite, electrolytic aluminium smelting cell.</w:t>
            </w:r>
          </w:p>
        </w:tc>
        <w:tc>
          <w:tcPr>
            <w:tcW w:w="1489" w:type="dxa"/>
          </w:tcPr>
          <w:p w:rsidR="00BB1E2D" w:rsidRPr="00721CB6" w:rsidRDefault="00BB1E2D" w:rsidP="00BB1E2D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ChVI B, T1; </w:t>
            </w:r>
          </w:p>
        </w:tc>
      </w:tr>
      <w:tr w:rsidR="00721CB6" w:rsidRPr="00721CB6" w:rsidTr="00495856">
        <w:tc>
          <w:tcPr>
            <w:tcW w:w="1154" w:type="dxa"/>
          </w:tcPr>
          <w:p w:rsidR="00BB1E2D" w:rsidRPr="00721CB6" w:rsidRDefault="002029FD" w:rsidP="00BB1E2D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41</w:t>
            </w:r>
          </w:p>
        </w:tc>
        <w:tc>
          <w:tcPr>
            <w:tcW w:w="2963" w:type="dxa"/>
          </w:tcPr>
          <w:p w:rsidR="00BB1E2D" w:rsidRPr="00721CB6" w:rsidRDefault="003A10A4" w:rsidP="00BB1E2D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 understand the Paracetamol Tablet manufacturing</w:t>
            </w:r>
          </w:p>
        </w:tc>
        <w:tc>
          <w:tcPr>
            <w:tcW w:w="4451" w:type="dxa"/>
          </w:tcPr>
          <w:p w:rsidR="00BB1E2D" w:rsidRPr="00721CB6" w:rsidRDefault="003A10A4" w:rsidP="00BB1E2D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API, binder, granulation, Tablet making and Tablet attributes.</w:t>
            </w:r>
          </w:p>
        </w:tc>
        <w:tc>
          <w:tcPr>
            <w:tcW w:w="1489" w:type="dxa"/>
          </w:tcPr>
          <w:p w:rsidR="00BB1E2D" w:rsidRPr="00721CB6" w:rsidRDefault="003A10A4" w:rsidP="00BB1E2D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Class notes</w:t>
            </w:r>
          </w:p>
        </w:tc>
      </w:tr>
    </w:tbl>
    <w:p w:rsidR="00E87471" w:rsidRPr="00721CB6" w:rsidRDefault="00E87471" w:rsidP="002558F9">
      <w:pPr>
        <w:suppressAutoHyphens/>
        <w:jc w:val="both"/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</w:pPr>
    </w:p>
    <w:p w:rsidR="002558F9" w:rsidRPr="00721CB6" w:rsidRDefault="002558F9" w:rsidP="002558F9">
      <w:pPr>
        <w:suppressAutoHyphens/>
        <w:jc w:val="both"/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</w:pPr>
    </w:p>
    <w:p w:rsidR="00CF1218" w:rsidRPr="00721CB6" w:rsidRDefault="00CF1218" w:rsidP="00721CB6">
      <w:pPr>
        <w:pStyle w:val="ListParagraph"/>
        <w:numPr>
          <w:ilvl w:val="0"/>
          <w:numId w:val="4"/>
        </w:numPr>
        <w:suppressAutoHyphens/>
        <w:rPr>
          <w:b/>
          <w:color w:val="000000" w:themeColor="text1"/>
          <w:spacing w:val="-2"/>
          <w:sz w:val="22"/>
          <w:szCs w:val="22"/>
        </w:rPr>
      </w:pPr>
      <w:r w:rsidRPr="00721CB6">
        <w:rPr>
          <w:b/>
          <w:color w:val="000000" w:themeColor="text1"/>
          <w:spacing w:val="-2"/>
          <w:sz w:val="22"/>
          <w:szCs w:val="22"/>
        </w:rPr>
        <w:t xml:space="preserve">Evaluation </w:t>
      </w:r>
      <w:r w:rsidR="006F6AFF" w:rsidRPr="00721CB6">
        <w:rPr>
          <w:b/>
          <w:color w:val="000000" w:themeColor="text1"/>
          <w:spacing w:val="-2"/>
          <w:sz w:val="22"/>
          <w:szCs w:val="22"/>
        </w:rPr>
        <w:t>Scheme:</w:t>
      </w:r>
    </w:p>
    <w:tbl>
      <w:tblPr>
        <w:tblpPr w:leftFromText="180" w:rightFromText="180" w:vertAnchor="text" w:tblpXSpec="center" w:tblpY="1"/>
        <w:tblOverlap w:val="never"/>
        <w:tblW w:w="102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54"/>
        <w:gridCol w:w="1298"/>
        <w:gridCol w:w="1943"/>
        <w:gridCol w:w="1971"/>
        <w:gridCol w:w="2240"/>
      </w:tblGrid>
      <w:tr w:rsidR="00721CB6" w:rsidRPr="00721CB6" w:rsidTr="002029FD">
        <w:trPr>
          <w:trHeight w:val="567"/>
          <w:jc w:val="center"/>
        </w:trPr>
        <w:tc>
          <w:tcPr>
            <w:tcW w:w="2754" w:type="dxa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pStyle w:val="Heading1"/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721CB6">
              <w:rPr>
                <w:color w:val="000000" w:themeColor="text1"/>
                <w:sz w:val="22"/>
                <w:szCs w:val="22"/>
              </w:rPr>
              <w:t>Evaluation Component</w:t>
            </w:r>
          </w:p>
        </w:tc>
        <w:tc>
          <w:tcPr>
            <w:tcW w:w="1298" w:type="dxa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Duration</w:t>
            </w:r>
          </w:p>
        </w:tc>
        <w:tc>
          <w:tcPr>
            <w:tcW w:w="1943" w:type="dxa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Weightage (%)</w:t>
            </w:r>
          </w:p>
        </w:tc>
        <w:tc>
          <w:tcPr>
            <w:tcW w:w="1971" w:type="dxa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Date &amp;Time</w:t>
            </w:r>
          </w:p>
        </w:tc>
        <w:tc>
          <w:tcPr>
            <w:tcW w:w="2240" w:type="dxa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Nature of Component</w:t>
            </w:r>
          </w:p>
        </w:tc>
      </w:tr>
      <w:tr w:rsidR="00721CB6" w:rsidRPr="00721CB6" w:rsidTr="002029FD">
        <w:trPr>
          <w:trHeight w:val="392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Mid semester test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90 min</w:t>
            </w:r>
          </w:p>
        </w:tc>
        <w:tc>
          <w:tcPr>
            <w:tcW w:w="19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30%</w:t>
            </w:r>
          </w:p>
        </w:tc>
        <w:tc>
          <w:tcPr>
            <w:tcW w:w="197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21CB6" w:rsidRPr="00721CB6" w:rsidRDefault="00B14574" w:rsidP="000C3AA1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sz w:val="17"/>
                <w:szCs w:val="17"/>
              </w:rPr>
              <w:t>6/3 9.00 - 10.30AM</w:t>
            </w:r>
          </w:p>
        </w:tc>
        <w:tc>
          <w:tcPr>
            <w:tcW w:w="2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CB</w:t>
            </w:r>
          </w:p>
        </w:tc>
      </w:tr>
      <w:tr w:rsidR="00721CB6" w:rsidRPr="00721CB6" w:rsidTr="002029FD">
        <w:trPr>
          <w:trHeight w:val="473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Surprise Tests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  <w:vertAlign w:val="superscript"/>
              </w:rPr>
              <w:t>#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20 min each </w:t>
            </w:r>
          </w:p>
        </w:tc>
        <w:tc>
          <w:tcPr>
            <w:tcW w:w="19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15 %</w:t>
            </w:r>
          </w:p>
        </w:tc>
        <w:tc>
          <w:tcPr>
            <w:tcW w:w="197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ind w:left="720" w:hanging="72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GB" w:eastAsia="en-GB"/>
              </w:rPr>
            </w:pPr>
          </w:p>
        </w:tc>
        <w:tc>
          <w:tcPr>
            <w:tcW w:w="2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CB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  <w:vertAlign w:val="superscript"/>
              </w:rPr>
              <w:t>$</w:t>
            </w:r>
          </w:p>
        </w:tc>
      </w:tr>
      <w:tr w:rsidR="00721CB6" w:rsidRPr="00721CB6" w:rsidTr="002029FD">
        <w:trPr>
          <w:trHeight w:val="278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721CB6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Seminars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15 %</w:t>
            </w:r>
          </w:p>
        </w:tc>
        <w:tc>
          <w:tcPr>
            <w:tcW w:w="197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GB" w:eastAsia="en-GB"/>
              </w:rPr>
            </w:pPr>
          </w:p>
        </w:tc>
        <w:tc>
          <w:tcPr>
            <w:tcW w:w="2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OB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  <w:vertAlign w:val="superscript"/>
              </w:rPr>
              <w:t>$</w:t>
            </w:r>
          </w:p>
        </w:tc>
      </w:tr>
      <w:tr w:rsidR="00721CB6" w:rsidRPr="00721CB6" w:rsidTr="002029FD">
        <w:trPr>
          <w:trHeight w:val="383"/>
          <w:jc w:val="center"/>
        </w:trPr>
        <w:tc>
          <w:tcPr>
            <w:tcW w:w="2754" w:type="dxa"/>
            <w:tcBorders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Comprehensive Exam</w:t>
            </w:r>
          </w:p>
        </w:tc>
        <w:tc>
          <w:tcPr>
            <w:tcW w:w="1298" w:type="dxa"/>
            <w:tcBorders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 hours</w:t>
            </w:r>
          </w:p>
        </w:tc>
        <w:tc>
          <w:tcPr>
            <w:tcW w:w="1943" w:type="dxa"/>
            <w:tcBorders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40%</w:t>
            </w:r>
          </w:p>
        </w:tc>
        <w:tc>
          <w:tcPr>
            <w:tcW w:w="1971" w:type="dxa"/>
            <w:tcBorders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B14574" w:rsidP="000C3AA1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GB" w:eastAsia="en-GB"/>
              </w:rPr>
            </w:pPr>
            <w:r>
              <w:rPr>
                <w:sz w:val="17"/>
                <w:szCs w:val="17"/>
              </w:rPr>
              <w:t>12/05</w:t>
            </w:r>
            <w:r>
              <w:rPr>
                <w:sz w:val="17"/>
                <w:szCs w:val="17"/>
              </w:rPr>
              <w:t xml:space="preserve"> FN</w:t>
            </w:r>
          </w:p>
        </w:tc>
        <w:tc>
          <w:tcPr>
            <w:tcW w:w="2240" w:type="dxa"/>
            <w:tcBorders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1CB6" w:rsidRPr="00721CB6" w:rsidRDefault="00721CB6" w:rsidP="000C3AA1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OB (10%)+CB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  <w:vertAlign w:val="superscript"/>
              </w:rPr>
              <w:t xml:space="preserve"> </w:t>
            </w:r>
            <w:r w:rsidRPr="00721C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(30%)</w:t>
            </w:r>
          </w:p>
        </w:tc>
      </w:tr>
    </w:tbl>
    <w:p w:rsidR="00721CB6" w:rsidRPr="00721CB6" w:rsidRDefault="00721CB6" w:rsidP="00721CB6">
      <w:pPr>
        <w:suppressAutoHyphens/>
        <w:ind w:left="720"/>
        <w:jc w:val="both"/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</w:pPr>
      <w:r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>Seminar topics will be allotted for students having 50 % attendance in the class.</w:t>
      </w:r>
    </w:p>
    <w:p w:rsidR="00921CC6" w:rsidRPr="00721CB6" w:rsidRDefault="00921CC6">
      <w:pPr>
        <w:suppressAutoHyphens/>
        <w:jc w:val="both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</w:p>
    <w:p w:rsidR="00CF1218" w:rsidRPr="00721CB6" w:rsidRDefault="00721CB6">
      <w:pPr>
        <w:suppressAutoHyphens/>
        <w:jc w:val="both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  <w:r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6. </w:t>
      </w:r>
      <w:r w:rsidR="00CF1218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>Chamber</w:t>
      </w:r>
      <w:r w:rsidR="009967D0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 xml:space="preserve"> </w:t>
      </w:r>
      <w:r w:rsidR="00CF1218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>Consul</w:t>
      </w:r>
      <w:r w:rsidR="00B427CC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>t</w:t>
      </w:r>
      <w:r w:rsidR="00CF1218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 xml:space="preserve">ation </w:t>
      </w:r>
      <w:r w:rsidR="006F6AFF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>Hour:</w:t>
      </w:r>
      <w:r w:rsidR="00CF1218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To be announced in the class.</w:t>
      </w:r>
      <w:r w:rsidR="009967D0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 xml:space="preserve"> (chamber: </w:t>
      </w:r>
      <w:r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>D 207</w:t>
      </w:r>
      <w:r w:rsidR="009967D0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>)</w:t>
      </w:r>
      <w:bookmarkStart w:id="0" w:name="_GoBack"/>
      <w:bookmarkEnd w:id="0"/>
    </w:p>
    <w:p w:rsidR="009967D0" w:rsidRPr="00721CB6" w:rsidRDefault="00721CB6">
      <w:pPr>
        <w:suppressAutoHyphens/>
        <w:jc w:val="both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  <w:r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7. </w:t>
      </w:r>
      <w:r w:rsidR="006F6AFF" w:rsidRPr="00721CB6">
        <w:rPr>
          <w:rFonts w:ascii="Times New Roman" w:hAnsi="Times New Roman"/>
          <w:b/>
          <w:color w:val="000000" w:themeColor="text1"/>
          <w:spacing w:val="-2"/>
          <w:sz w:val="22"/>
          <w:szCs w:val="22"/>
        </w:rPr>
        <w:t>Notice:</w:t>
      </w:r>
      <w:r w:rsidR="00CF1218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Notice will be displayed </w:t>
      </w:r>
      <w:r w:rsidR="006F6AF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on </w:t>
      </w:r>
      <w:r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CMS</w:t>
      </w:r>
    </w:p>
    <w:p w:rsidR="00495856" w:rsidRPr="00721CB6" w:rsidRDefault="00495856">
      <w:pPr>
        <w:suppressAutoHyphens/>
        <w:jc w:val="both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</w:p>
    <w:p w:rsidR="00721CB6" w:rsidRDefault="00495856" w:rsidP="00495856">
      <w:pPr>
        <w:suppressAutoHyphens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721CB6">
        <w:rPr>
          <w:rFonts w:ascii="Times New Roman" w:hAnsi="Times New Roman"/>
          <w:b/>
          <w:bCs/>
          <w:color w:val="000000" w:themeColor="text1"/>
          <w:sz w:val="22"/>
          <w:szCs w:val="22"/>
        </w:rPr>
        <w:t>Make-up policy</w:t>
      </w:r>
      <w:r w:rsidRPr="00721CB6">
        <w:rPr>
          <w:rFonts w:ascii="Times New Roman" w:hAnsi="Times New Roman"/>
          <w:color w:val="000000" w:themeColor="text1"/>
          <w:sz w:val="22"/>
          <w:szCs w:val="22"/>
        </w:rPr>
        <w:t xml:space="preserve">: Make-up will be </w:t>
      </w:r>
      <w:r w:rsidR="00D67F07" w:rsidRPr="00721CB6">
        <w:rPr>
          <w:rFonts w:ascii="Times New Roman" w:hAnsi="Times New Roman"/>
          <w:color w:val="000000" w:themeColor="text1"/>
          <w:sz w:val="22"/>
          <w:szCs w:val="22"/>
        </w:rPr>
        <w:t>granted after</w:t>
      </w:r>
      <w:r w:rsidRPr="00721CB6">
        <w:rPr>
          <w:rFonts w:ascii="Times New Roman" w:hAnsi="Times New Roman"/>
          <w:color w:val="000000" w:themeColor="text1"/>
          <w:sz w:val="22"/>
          <w:szCs w:val="22"/>
        </w:rPr>
        <w:t xml:space="preserve"> he /she maintains 50% attendance in the class and has genuine reasons not to appear in the regular test.</w:t>
      </w:r>
      <w:r w:rsidR="006946FF" w:rsidRPr="00721CB6">
        <w:rPr>
          <w:rFonts w:ascii="Times New Roman" w:hAnsi="Times New Roman"/>
          <w:color w:val="000000" w:themeColor="text1"/>
          <w:sz w:val="22"/>
          <w:szCs w:val="22"/>
        </w:rPr>
        <w:t xml:space="preserve"> Prior permission from IC is must for any make-up.</w:t>
      </w:r>
      <w:r w:rsidR="002029F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:rsidR="002029FD" w:rsidRPr="00721CB6" w:rsidRDefault="002029FD" w:rsidP="00495856">
      <w:pPr>
        <w:suppressAutoHyphens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721CB6" w:rsidRPr="00721CB6" w:rsidRDefault="00721CB6" w:rsidP="00495856">
      <w:pPr>
        <w:suppressAutoHyphens/>
        <w:jc w:val="both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  <w:r w:rsidRPr="00721CB6">
        <w:rPr>
          <w:rFonts w:ascii="Times New Roman" w:hAnsi="Times New Roman"/>
          <w:b/>
          <w:bCs/>
          <w:color w:val="000000" w:themeColor="text1"/>
          <w:sz w:val="22"/>
          <w:szCs w:val="22"/>
        </w:rPr>
        <w:t>Academic Honesty and Integrity Policy:</w:t>
      </w:r>
      <w:r w:rsidRPr="00721CB6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 Academic honesty and integrity are to be maintained by all the students throughout the semester and no type of academic dishonesty is acceptable.</w:t>
      </w:r>
    </w:p>
    <w:p w:rsidR="00CF1218" w:rsidRPr="00721CB6" w:rsidRDefault="00CF1218" w:rsidP="002029FD">
      <w:pPr>
        <w:suppressAutoHyphens/>
        <w:jc w:val="center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r w:rsidR="002029FD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                                                                                                                      </w:t>
      </w: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Instructor</w:t>
      </w: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noBreakHyphen/>
        <w:t>in</w:t>
      </w: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noBreakHyphen/>
        <w:t>charge</w:t>
      </w:r>
    </w:p>
    <w:p w:rsidR="00CF1218" w:rsidRPr="00721CB6" w:rsidRDefault="00CF1218">
      <w:pPr>
        <w:suppressAutoHyphens/>
        <w:jc w:val="both"/>
        <w:rPr>
          <w:rFonts w:ascii="Times New Roman" w:hAnsi="Times New Roman"/>
          <w:color w:val="000000" w:themeColor="text1"/>
          <w:spacing w:val="-2"/>
          <w:sz w:val="22"/>
          <w:szCs w:val="22"/>
        </w:rPr>
      </w:pP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                                                 </w:t>
      </w: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ab/>
      </w: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ab/>
      </w: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ab/>
      </w: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ab/>
      </w: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ab/>
      </w: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ab/>
      </w:r>
      <w:r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ab/>
      </w:r>
      <w:r w:rsidR="002029FD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              </w:t>
      </w:r>
      <w:r w:rsid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r w:rsidR="00931CF9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CHE </w:t>
      </w:r>
      <w:r w:rsidR="006946FF" w:rsidRP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F419</w:t>
      </w:r>
      <w:r w:rsid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 </w:t>
      </w:r>
      <w:r w:rsidR="002029FD">
        <w:rPr>
          <w:rFonts w:ascii="Times New Roman" w:hAnsi="Times New Roman"/>
          <w:color w:val="000000" w:themeColor="text1"/>
          <w:spacing w:val="-2"/>
          <w:sz w:val="22"/>
          <w:szCs w:val="22"/>
        </w:rPr>
        <w:br/>
        <w:t xml:space="preserve">                                                                                                                             </w:t>
      </w:r>
      <w:r w:rsidR="00721CB6">
        <w:rPr>
          <w:rFonts w:ascii="Times New Roman" w:hAnsi="Times New Roman"/>
          <w:color w:val="000000" w:themeColor="text1"/>
          <w:spacing w:val="-2"/>
          <w:sz w:val="22"/>
          <w:szCs w:val="22"/>
        </w:rPr>
        <w:t>(Chemical Process Technology)</w:t>
      </w:r>
    </w:p>
    <w:sectPr w:rsidR="00CF1218" w:rsidRPr="00721CB6" w:rsidSect="00A95D55">
      <w:endnotePr>
        <w:numFmt w:val="decimal"/>
      </w:endnotePr>
      <w:pgSz w:w="11909" w:h="16834" w:code="9"/>
      <w:pgMar w:top="1296" w:right="1152" w:bottom="990" w:left="1152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0B0" w:rsidRDefault="003F00B0">
      <w:pPr>
        <w:spacing w:line="20" w:lineRule="exact"/>
        <w:rPr>
          <w:sz w:val="24"/>
        </w:rPr>
      </w:pPr>
    </w:p>
  </w:endnote>
  <w:endnote w:type="continuationSeparator" w:id="0">
    <w:p w:rsidR="003F00B0" w:rsidRDefault="003F00B0">
      <w:r>
        <w:rPr>
          <w:sz w:val="24"/>
        </w:rPr>
        <w:t xml:space="preserve"> </w:t>
      </w:r>
    </w:p>
  </w:endnote>
  <w:endnote w:type="continuationNotice" w:id="1">
    <w:p w:rsidR="003F00B0" w:rsidRDefault="003F00B0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0B0" w:rsidRDefault="003F00B0">
      <w:r>
        <w:rPr>
          <w:sz w:val="24"/>
        </w:rPr>
        <w:separator/>
      </w:r>
    </w:p>
  </w:footnote>
  <w:footnote w:type="continuationSeparator" w:id="0">
    <w:p w:rsidR="003F00B0" w:rsidRDefault="003F0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974BF"/>
    <w:multiLevelType w:val="hybridMultilevel"/>
    <w:tmpl w:val="A960433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344AA"/>
    <w:multiLevelType w:val="hybridMultilevel"/>
    <w:tmpl w:val="FBC2E1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83655C1"/>
    <w:multiLevelType w:val="hybridMultilevel"/>
    <w:tmpl w:val="EF842DFC"/>
    <w:lvl w:ilvl="0" w:tplc="D4F8D334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" w15:restartNumberingAfterBreak="0">
    <w:nsid w:val="584B04C2"/>
    <w:multiLevelType w:val="hybridMultilevel"/>
    <w:tmpl w:val="71E6FE1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E9"/>
    <w:rsid w:val="000000C2"/>
    <w:rsid w:val="00007487"/>
    <w:rsid w:val="000A4EEB"/>
    <w:rsid w:val="000B1BDD"/>
    <w:rsid w:val="000D36A7"/>
    <w:rsid w:val="001E2D6E"/>
    <w:rsid w:val="002029FD"/>
    <w:rsid w:val="00202C02"/>
    <w:rsid w:val="0021628B"/>
    <w:rsid w:val="00217D00"/>
    <w:rsid w:val="002558F9"/>
    <w:rsid w:val="002A604F"/>
    <w:rsid w:val="002B4047"/>
    <w:rsid w:val="003111A2"/>
    <w:rsid w:val="0032067A"/>
    <w:rsid w:val="0033045E"/>
    <w:rsid w:val="003917A9"/>
    <w:rsid w:val="003A10A4"/>
    <w:rsid w:val="003F00B0"/>
    <w:rsid w:val="003F1CE9"/>
    <w:rsid w:val="004264AC"/>
    <w:rsid w:val="00433BD0"/>
    <w:rsid w:val="0044751B"/>
    <w:rsid w:val="004537E1"/>
    <w:rsid w:val="004755F0"/>
    <w:rsid w:val="00476893"/>
    <w:rsid w:val="0048058A"/>
    <w:rsid w:val="00481E74"/>
    <w:rsid w:val="00495856"/>
    <w:rsid w:val="004A4606"/>
    <w:rsid w:val="004C0B5E"/>
    <w:rsid w:val="004D72D1"/>
    <w:rsid w:val="004F5E11"/>
    <w:rsid w:val="00511B9F"/>
    <w:rsid w:val="00514E7E"/>
    <w:rsid w:val="00515431"/>
    <w:rsid w:val="00531900"/>
    <w:rsid w:val="005E3749"/>
    <w:rsid w:val="00632559"/>
    <w:rsid w:val="0065582D"/>
    <w:rsid w:val="006946FF"/>
    <w:rsid w:val="006B4F64"/>
    <w:rsid w:val="006E7583"/>
    <w:rsid w:val="006F6AFF"/>
    <w:rsid w:val="00721CB6"/>
    <w:rsid w:val="007859FB"/>
    <w:rsid w:val="007D018A"/>
    <w:rsid w:val="007D7AA8"/>
    <w:rsid w:val="007E341F"/>
    <w:rsid w:val="008025BA"/>
    <w:rsid w:val="00822336"/>
    <w:rsid w:val="00834810"/>
    <w:rsid w:val="00861F08"/>
    <w:rsid w:val="008A18AF"/>
    <w:rsid w:val="008F5935"/>
    <w:rsid w:val="00921CC6"/>
    <w:rsid w:val="00927133"/>
    <w:rsid w:val="00931CF9"/>
    <w:rsid w:val="00964C1C"/>
    <w:rsid w:val="009967D0"/>
    <w:rsid w:val="009A46B0"/>
    <w:rsid w:val="009E1815"/>
    <w:rsid w:val="00A45B99"/>
    <w:rsid w:val="00A53DBD"/>
    <w:rsid w:val="00A544A1"/>
    <w:rsid w:val="00A95D55"/>
    <w:rsid w:val="00AD3F20"/>
    <w:rsid w:val="00AF7DFE"/>
    <w:rsid w:val="00B1050F"/>
    <w:rsid w:val="00B14574"/>
    <w:rsid w:val="00B14E32"/>
    <w:rsid w:val="00B3321A"/>
    <w:rsid w:val="00B427CC"/>
    <w:rsid w:val="00B72F64"/>
    <w:rsid w:val="00BB1E2D"/>
    <w:rsid w:val="00BB5A8D"/>
    <w:rsid w:val="00BC01B7"/>
    <w:rsid w:val="00BF540C"/>
    <w:rsid w:val="00C15045"/>
    <w:rsid w:val="00C631FC"/>
    <w:rsid w:val="00C8138F"/>
    <w:rsid w:val="00CA22BE"/>
    <w:rsid w:val="00CC3E83"/>
    <w:rsid w:val="00CD5B65"/>
    <w:rsid w:val="00CE6FFF"/>
    <w:rsid w:val="00CF1218"/>
    <w:rsid w:val="00D44D7E"/>
    <w:rsid w:val="00D55FD4"/>
    <w:rsid w:val="00D576A0"/>
    <w:rsid w:val="00D67F07"/>
    <w:rsid w:val="00DC3E65"/>
    <w:rsid w:val="00DD6D77"/>
    <w:rsid w:val="00E44655"/>
    <w:rsid w:val="00E44E85"/>
    <w:rsid w:val="00E50B90"/>
    <w:rsid w:val="00E67FEF"/>
    <w:rsid w:val="00E87471"/>
    <w:rsid w:val="00EE2BF0"/>
    <w:rsid w:val="00F25BED"/>
    <w:rsid w:val="00F6447A"/>
    <w:rsid w:val="00F83B38"/>
    <w:rsid w:val="00F9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BEB31"/>
  <w15:docId w15:val="{AF1D5AAD-7270-486D-94DF-CD47DF73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D55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Heading1">
    <w:name w:val="heading 1"/>
    <w:basedOn w:val="Normal"/>
    <w:next w:val="Normal"/>
    <w:qFormat/>
    <w:rsid w:val="00A95D55"/>
    <w:pPr>
      <w:keepNext/>
      <w:suppressAutoHyphens/>
      <w:jc w:val="both"/>
      <w:outlineLvl w:val="0"/>
    </w:pPr>
    <w:rPr>
      <w:rFonts w:ascii="Times New Roman" w:hAnsi="Times New Roman"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A95D55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A95D55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A95D55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A95D55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A95D55"/>
    <w:rPr>
      <w:sz w:val="24"/>
    </w:rPr>
  </w:style>
  <w:style w:type="character" w:customStyle="1" w:styleId="EquationCaption">
    <w:name w:val="_Equation Caption"/>
    <w:rsid w:val="00A95D55"/>
  </w:style>
  <w:style w:type="paragraph" w:styleId="ListParagraph">
    <w:name w:val="List Paragraph"/>
    <w:basedOn w:val="Normal"/>
    <w:uiPriority w:val="99"/>
    <w:qFormat/>
    <w:rsid w:val="004755F0"/>
    <w:pPr>
      <w:overflowPunct/>
      <w:autoSpaceDE/>
      <w:autoSpaceDN/>
      <w:adjustRightInd/>
      <w:ind w:left="720" w:hanging="567"/>
      <w:jc w:val="both"/>
      <w:textAlignment w:val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bsj</dc:creator>
  <cp:lastModifiedBy>Windows User</cp:lastModifiedBy>
  <cp:revision>3</cp:revision>
  <cp:lastPrinted>2015-12-02T09:36:00Z</cp:lastPrinted>
  <dcterms:created xsi:type="dcterms:W3CDTF">2019-11-30T03:49:00Z</dcterms:created>
  <dcterms:modified xsi:type="dcterms:W3CDTF">2020-01-03T10:47:00Z</dcterms:modified>
</cp:coreProperties>
</file>