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1A" w:rsidRDefault="008A4682" w:rsidP="00D52A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924425" cy="995363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71A" w:rsidRDefault="000446C9" w:rsidP="00D52A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</w:t>
      </w:r>
      <w:r w:rsidR="008A4682"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 2019-2020</w:t>
      </w:r>
    </w:p>
    <w:p w:rsidR="001F171A" w:rsidRDefault="008A4682" w:rsidP="00D52A75">
      <w:pPr>
        <w:pStyle w:val="Heading1"/>
        <w:jc w:val="center"/>
      </w:pPr>
      <w:r>
        <w:t>Course Handout Part II</w:t>
      </w:r>
    </w:p>
    <w:p w:rsidR="001F171A" w:rsidRDefault="008A4682" w:rsidP="00D52A7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F2A4E">
        <w:rPr>
          <w:rFonts w:ascii="Times New Roman" w:eastAsia="Times New Roman" w:hAnsi="Times New Roman" w:cs="Times New Roman"/>
          <w:sz w:val="24"/>
          <w:szCs w:val="24"/>
        </w:rPr>
        <w:t>0</w:t>
      </w:r>
      <w:r w:rsidR="000446C9">
        <w:rPr>
          <w:rFonts w:ascii="Times New Roman" w:eastAsia="Times New Roman" w:hAnsi="Times New Roman" w:cs="Times New Roman"/>
          <w:sz w:val="24"/>
          <w:szCs w:val="24"/>
        </w:rPr>
        <w:t>6-</w:t>
      </w:r>
      <w:r w:rsidR="007F2A4E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-20</w:t>
      </w:r>
      <w:r w:rsidR="007F2A4E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1F171A" w:rsidRDefault="008A4682">
      <w:pPr>
        <w:spacing w:after="0"/>
        <w:ind w:left="-720" w:righ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-I (General Handout for all courses appended to the time table) this portion gives further specific details regarding the course.</w:t>
      </w:r>
    </w:p>
    <w:p w:rsidR="001F171A" w:rsidRDefault="001F171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Default="008A4682">
      <w:pPr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Number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1743B">
        <w:rPr>
          <w:rFonts w:ascii="Times New Roman" w:eastAsia="Times New Roman" w:hAnsi="Times New Roman" w:cs="Times New Roman"/>
          <w:sz w:val="24"/>
          <w:szCs w:val="24"/>
        </w:rPr>
        <w:t>HSS</w:t>
      </w:r>
      <w:r w:rsidR="00211AB7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363</w:t>
      </w:r>
    </w:p>
    <w:p w:rsidR="001F171A" w:rsidRDefault="008A4682">
      <w:pPr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Disaster and Development </w:t>
      </w:r>
    </w:p>
    <w:p w:rsidR="001F171A" w:rsidRDefault="008A4682">
      <w:pPr>
        <w:spacing w:after="0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Biswanath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Dash</w:t>
      </w:r>
    </w:p>
    <w:p w:rsidR="001F171A" w:rsidRDefault="001F171A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Default="008A4682">
      <w:pPr>
        <w:tabs>
          <w:tab w:val="left" w:pos="910"/>
        </w:tabs>
        <w:spacing w:after="0"/>
        <w:ind w:lef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Scope and objective of the course:</w:t>
      </w:r>
    </w:p>
    <w:p w:rsidR="001C57F4" w:rsidRDefault="008A4682" w:rsidP="00942C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ind w:left="-720" w:right="-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course aims at an understanding of the linkages between development and disaster. Recent disasters such as Cyclone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Odisha 2019,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 Andhra Pradesh, 2018, Severe Flood in Kerala, 2018</w:t>
      </w:r>
      <w:r w:rsidR="005B26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Chennai, 2015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Uttarakhand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2013 etc. have brought to </w:t>
      </w:r>
      <w:r w:rsidR="005B263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fore the importance of planning and that of disaster risk mitigation. It is also widely recognized that flawed policies and practices of development engender disaster risk, neutralizing gains accrued over a long period of time. Its impact on business triggers a cascading effect, crippling vital functions in the short term and </w:t>
      </w:r>
      <w:r w:rsidR="005B263E">
        <w:rPr>
          <w:rFonts w:ascii="Times New Roman" w:eastAsia="Times New Roman" w:hAnsi="Times New Roman" w:cs="Times New Roman"/>
          <w:sz w:val="24"/>
          <w:szCs w:val="24"/>
        </w:rPr>
        <w:t xml:space="preserve">meaningful rehabilitation and recovery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longer terms. Conversely disasters, while being destructive in nature, also provide opportunities in its aftermath to undertake more sustainable and resilient developmental practices.  </w:t>
      </w:r>
    </w:p>
    <w:p w:rsidR="001F171A" w:rsidRDefault="008A4682">
      <w:pPr>
        <w:spacing w:after="0"/>
        <w:ind w:lef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Text Book: </w:t>
      </w:r>
    </w:p>
    <w:p w:rsidR="001F171A" w:rsidRDefault="008A468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Papers to be uploaded on CMS</w:t>
      </w:r>
    </w:p>
    <w:p w:rsidR="001F171A" w:rsidRDefault="008A468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G.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Hilhorst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H. (2004)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Mapping Vulnerability: Disasters, Development and People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Earthscan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171A" w:rsidRDefault="008A4682">
      <w:pPr>
        <w:tabs>
          <w:tab w:val="left" w:pos="910"/>
        </w:tabs>
        <w:spacing w:after="0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Plan: </w:t>
      </w:r>
    </w:p>
    <w:p w:rsidR="00336B2F" w:rsidRDefault="00336B2F">
      <w:pPr>
        <w:tabs>
          <w:tab w:val="left" w:pos="910"/>
        </w:tabs>
        <w:spacing w:after="0"/>
        <w:ind w:left="-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5"/>
        <w:gridCol w:w="2815"/>
        <w:gridCol w:w="3870"/>
        <w:gridCol w:w="1865"/>
      </w:tblGrid>
      <w:tr w:rsidR="001F171A" w:rsidTr="00D52A75">
        <w:trPr>
          <w:trHeight w:val="620"/>
        </w:trPr>
        <w:tc>
          <w:tcPr>
            <w:tcW w:w="9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Lecture</w:t>
            </w:r>
          </w:p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81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Objectives </w:t>
            </w:r>
          </w:p>
        </w:tc>
        <w:tc>
          <w:tcPr>
            <w:tcW w:w="3870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Topics to be covered </w:t>
            </w:r>
          </w:p>
        </w:tc>
        <w:tc>
          <w:tcPr>
            <w:tcW w:w="1865" w:type="dxa"/>
          </w:tcPr>
          <w:p w:rsidR="001F171A" w:rsidRDefault="001F77CC" w:rsidP="00942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</w:tr>
      <w:tr w:rsidR="001F171A" w:rsidTr="00D52A75">
        <w:trPr>
          <w:trHeight w:val="620"/>
        </w:trPr>
        <w:tc>
          <w:tcPr>
            <w:tcW w:w="9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815" w:type="dxa"/>
          </w:tcPr>
          <w:p w:rsidR="001F171A" w:rsidRDefault="008A4682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Gain an overall perspective of the course</w:t>
            </w:r>
          </w:p>
        </w:tc>
        <w:tc>
          <w:tcPr>
            <w:tcW w:w="3870" w:type="dxa"/>
          </w:tcPr>
          <w:p w:rsidR="001F171A" w:rsidRDefault="008A4682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Structure</w:t>
            </w:r>
          </w:p>
          <w:p w:rsidR="001F171A" w:rsidRDefault="008A4682">
            <w:pPr>
              <w:tabs>
                <w:tab w:val="left" w:pos="9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Description of evaluation component including course assignment</w:t>
            </w:r>
          </w:p>
        </w:tc>
        <w:tc>
          <w:tcPr>
            <w:tcW w:w="18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Course Handout</w:t>
            </w:r>
          </w:p>
          <w:p w:rsidR="001F171A" w:rsidRDefault="001F17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171A" w:rsidTr="00D52A75">
        <w:trPr>
          <w:trHeight w:val="1100"/>
        </w:trPr>
        <w:tc>
          <w:tcPr>
            <w:tcW w:w="9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3-9</w:t>
            </w:r>
          </w:p>
        </w:tc>
        <w:tc>
          <w:tcPr>
            <w:tcW w:w="281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core concepts and key theoretical framework</w:t>
            </w:r>
          </w:p>
        </w:tc>
        <w:tc>
          <w:tcPr>
            <w:tcW w:w="3870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Disaster, Vulnerability</w:t>
            </w:r>
          </w:p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Risk, and Resilience;</w:t>
            </w:r>
          </w:p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Disaster Risk Management (DRM) and Disaster Risk Reduction (DRR)</w:t>
            </w:r>
          </w:p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Mitigation and </w:t>
            </w:r>
          </w:p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Capacity Development </w:t>
            </w:r>
          </w:p>
        </w:tc>
        <w:tc>
          <w:tcPr>
            <w:tcW w:w="18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 Papers</w:t>
            </w:r>
          </w:p>
          <w:p w:rsidR="001F171A" w:rsidRDefault="001F17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 Chapter 2</w:t>
            </w:r>
          </w:p>
        </w:tc>
      </w:tr>
      <w:tr w:rsidR="001F171A" w:rsidTr="00D52A75">
        <w:trPr>
          <w:trHeight w:val="780"/>
        </w:trPr>
        <w:tc>
          <w:tcPr>
            <w:tcW w:w="9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10-15</w:t>
            </w:r>
          </w:p>
        </w:tc>
        <w:tc>
          <w:tcPr>
            <w:tcW w:w="281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examine and reflect on how disasters impact development </w:t>
            </w:r>
          </w:p>
        </w:tc>
        <w:tc>
          <w:tcPr>
            <w:tcW w:w="3870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 between disaster and development </w:t>
            </w:r>
          </w:p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Case Studies of Cyclone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Kerala Flood</w:t>
            </w:r>
          </w:p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 Chapter 3</w:t>
            </w:r>
          </w:p>
          <w:p w:rsidR="001F171A" w:rsidRDefault="001F17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 Material</w:t>
            </w:r>
          </w:p>
        </w:tc>
      </w:tr>
      <w:tr w:rsidR="001F171A" w:rsidTr="00D52A75">
        <w:trPr>
          <w:trHeight w:val="1880"/>
        </w:trPr>
        <w:tc>
          <w:tcPr>
            <w:tcW w:w="9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16-19</w:t>
            </w:r>
          </w:p>
        </w:tc>
        <w:tc>
          <w:tcPr>
            <w:tcW w:w="281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explore gaps in our understanding and limitation of risk analysis  </w:t>
            </w:r>
          </w:p>
        </w:tc>
        <w:tc>
          <w:tcPr>
            <w:tcW w:w="3870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Limitations of damage and loss assessment method </w:t>
            </w:r>
          </w:p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assessment tools and their limitations</w:t>
            </w:r>
          </w:p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Study: Hurricane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Hayian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Philippines </w:t>
            </w:r>
          </w:p>
        </w:tc>
        <w:tc>
          <w:tcPr>
            <w:tcW w:w="18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Papers</w:t>
            </w:r>
          </w:p>
        </w:tc>
      </w:tr>
      <w:tr w:rsidR="001F171A" w:rsidTr="00D52A75">
        <w:trPr>
          <w:trHeight w:val="760"/>
        </w:trPr>
        <w:tc>
          <w:tcPr>
            <w:tcW w:w="9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281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analyze process of Mainstreaming of Disaster Risk Reduction (DRR) into Development </w:t>
            </w:r>
          </w:p>
          <w:p w:rsidR="001F171A" w:rsidRDefault="001F171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1F171A" w:rsidRDefault="008A46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Mainstreaming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frameworks;  Policies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Plans and Regulations</w:t>
            </w:r>
          </w:p>
          <w:p w:rsidR="001F171A" w:rsidRDefault="008A46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and modelling limitation</w:t>
            </w:r>
          </w:p>
          <w:p w:rsidR="001F171A" w:rsidRDefault="008A46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and economic consideration: Case studies</w:t>
            </w:r>
          </w:p>
        </w:tc>
        <w:tc>
          <w:tcPr>
            <w:tcW w:w="18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TB Chapter 5,6, Reference papers </w:t>
            </w:r>
          </w:p>
        </w:tc>
      </w:tr>
      <w:tr w:rsidR="001F171A" w:rsidTr="00D52A75">
        <w:trPr>
          <w:trHeight w:val="760"/>
        </w:trPr>
        <w:tc>
          <w:tcPr>
            <w:tcW w:w="9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25-32</w:t>
            </w:r>
          </w:p>
        </w:tc>
        <w:tc>
          <w:tcPr>
            <w:tcW w:w="281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develop an ability to conduct disaster risk assessment </w:t>
            </w:r>
          </w:p>
        </w:tc>
        <w:tc>
          <w:tcPr>
            <w:tcW w:w="3870" w:type="dxa"/>
            <w:vAlign w:val="center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 hazard analysis </w:t>
            </w:r>
          </w:p>
          <w:p w:rsidR="001F171A" w:rsidRDefault="008A4682">
            <w:pPr>
              <w:spacing w:after="0"/>
              <w:ind w:hanging="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Vulnerability and Capacity Analysis </w:t>
            </w:r>
          </w:p>
          <w:p w:rsidR="001F171A" w:rsidRDefault="008A4682">
            <w:pPr>
              <w:spacing w:after="0"/>
              <w:ind w:hanging="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 evaluation, uncertainty  and decision making </w:t>
            </w:r>
          </w:p>
        </w:tc>
        <w:tc>
          <w:tcPr>
            <w:tcW w:w="18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papers</w:t>
            </w:r>
          </w:p>
        </w:tc>
      </w:tr>
      <w:tr w:rsidR="001F171A" w:rsidTr="00D52A75">
        <w:trPr>
          <w:trHeight w:val="620"/>
        </w:trPr>
        <w:tc>
          <w:tcPr>
            <w:tcW w:w="9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33-39</w:t>
            </w:r>
          </w:p>
        </w:tc>
        <w:tc>
          <w:tcPr>
            <w:tcW w:w="281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gain skills for Disaster Management Planning </w:t>
            </w:r>
          </w:p>
        </w:tc>
        <w:tc>
          <w:tcPr>
            <w:tcW w:w="3870" w:type="dxa"/>
          </w:tcPr>
          <w:p w:rsidR="001F171A" w:rsidRDefault="008A46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Continuity Plan (BCP)</w:t>
            </w:r>
          </w:p>
          <w:p w:rsidR="001F171A" w:rsidRDefault="008A46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Response and recovery planning </w:t>
            </w:r>
          </w:p>
        </w:tc>
        <w:tc>
          <w:tcPr>
            <w:tcW w:w="1865" w:type="dxa"/>
          </w:tcPr>
          <w:p w:rsidR="001F171A" w:rsidRDefault="008A46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material </w:t>
            </w:r>
          </w:p>
        </w:tc>
      </w:tr>
    </w:tbl>
    <w:p w:rsidR="001F171A" w:rsidRDefault="001F17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2A75" w:rsidRDefault="00D52A75">
      <w:pPr>
        <w:spacing w:after="0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2A75" w:rsidRDefault="00D52A75">
      <w:pPr>
        <w:spacing w:after="0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2A75" w:rsidRDefault="00D52A75">
      <w:pPr>
        <w:spacing w:after="0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2A75" w:rsidRDefault="00D52A75">
      <w:pPr>
        <w:spacing w:after="0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2A75" w:rsidRDefault="00D52A75">
      <w:pPr>
        <w:spacing w:after="0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2A75" w:rsidRDefault="00D52A75">
      <w:pPr>
        <w:spacing w:after="0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71A" w:rsidRDefault="00D52A75">
      <w:pPr>
        <w:spacing w:after="0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</w:t>
      </w:r>
      <w:r w:rsidR="008A4682">
        <w:rPr>
          <w:rFonts w:ascii="Times New Roman" w:eastAsia="Times New Roman" w:hAnsi="Times New Roman" w:cs="Times New Roman"/>
          <w:b/>
          <w:sz w:val="24"/>
          <w:szCs w:val="24"/>
        </w:rPr>
        <w:t>valuation Scheme:</w:t>
      </w:r>
    </w:p>
    <w:p w:rsidR="001F171A" w:rsidRDefault="001F17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1695"/>
        <w:gridCol w:w="1845"/>
        <w:gridCol w:w="1620"/>
        <w:gridCol w:w="1860"/>
      </w:tblGrid>
      <w:tr w:rsidR="001F171A">
        <w:tc>
          <w:tcPr>
            <w:tcW w:w="2265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Component </w:t>
            </w:r>
          </w:p>
        </w:tc>
        <w:tc>
          <w:tcPr>
            <w:tcW w:w="1695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845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1620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&amp; Time</w:t>
            </w:r>
          </w:p>
        </w:tc>
        <w:tc>
          <w:tcPr>
            <w:tcW w:w="1860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Nature of Component </w:t>
            </w:r>
          </w:p>
        </w:tc>
      </w:tr>
      <w:tr w:rsidR="001F171A" w:rsidTr="008A5153">
        <w:trPr>
          <w:trHeight w:val="683"/>
        </w:trPr>
        <w:tc>
          <w:tcPr>
            <w:tcW w:w="2265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 Semester Exam</w:t>
            </w:r>
          </w:p>
          <w:p w:rsidR="001F171A" w:rsidRDefault="001F17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 minutes</w:t>
            </w:r>
          </w:p>
        </w:tc>
        <w:tc>
          <w:tcPr>
            <w:tcW w:w="1845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1F171A" w:rsidRPr="00E879DE" w:rsidRDefault="007F2A4E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 w:val="17"/>
                <w:szCs w:val="17"/>
              </w:rPr>
              <w:t>4/3 9.00 - 10.30AM</w:t>
            </w:r>
          </w:p>
        </w:tc>
        <w:tc>
          <w:tcPr>
            <w:tcW w:w="1860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Closed Book</w:t>
            </w:r>
          </w:p>
        </w:tc>
      </w:tr>
      <w:tr w:rsidR="001F171A">
        <w:tc>
          <w:tcPr>
            <w:tcW w:w="2265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1 &amp; 2</w:t>
            </w:r>
          </w:p>
        </w:tc>
        <w:tc>
          <w:tcPr>
            <w:tcW w:w="1695" w:type="dxa"/>
          </w:tcPr>
          <w:p w:rsidR="001F171A" w:rsidRDefault="001F17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:rsidR="001F171A" w:rsidRPr="00E879DE" w:rsidRDefault="001F171A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60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1F171A">
        <w:tc>
          <w:tcPr>
            <w:tcW w:w="2265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Comprehensive Examination </w:t>
            </w:r>
          </w:p>
        </w:tc>
        <w:tc>
          <w:tcPr>
            <w:tcW w:w="1695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3hrs.</w:t>
            </w:r>
          </w:p>
        </w:tc>
        <w:tc>
          <w:tcPr>
            <w:tcW w:w="1845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20" w:type="dxa"/>
          </w:tcPr>
          <w:p w:rsidR="001F171A" w:rsidRPr="00E879DE" w:rsidRDefault="007F2A4E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 w:val="17"/>
                <w:szCs w:val="17"/>
              </w:rPr>
              <w:t>06/05</w:t>
            </w:r>
            <w:r>
              <w:rPr>
                <w:sz w:val="17"/>
                <w:szCs w:val="17"/>
              </w:rPr>
              <w:t xml:space="preserve"> AN</w:t>
            </w:r>
          </w:p>
        </w:tc>
        <w:tc>
          <w:tcPr>
            <w:tcW w:w="1860" w:type="dxa"/>
          </w:tcPr>
          <w:p w:rsidR="001F171A" w:rsidRDefault="008A46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Closed Book</w:t>
            </w:r>
          </w:p>
        </w:tc>
      </w:tr>
    </w:tbl>
    <w:p w:rsidR="001F171A" w:rsidRDefault="001F171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71A" w:rsidRDefault="008A4682">
      <w:pPr>
        <w:spacing w:after="0"/>
        <w:ind w:left="-72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Chamber Consultation Hour: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Thursday 11-12. Room No. K </w:t>
      </w:r>
      <w:r w:rsidR="004C2D30">
        <w:rPr>
          <w:rFonts w:ascii="Times New Roman" w:eastAsia="Times New Roman" w:hAnsi="Times New Roman" w:cs="Times New Roman"/>
          <w:sz w:val="24"/>
          <w:szCs w:val="24"/>
        </w:rPr>
        <w:t>118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Department of Humanities and Social Sciences, BITS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Hyderabad Campus </w:t>
      </w:r>
    </w:p>
    <w:p w:rsidR="001F171A" w:rsidRDefault="001F171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71A" w:rsidRDefault="008A4682">
      <w:pPr>
        <w:spacing w:after="0"/>
        <w:ind w:left="-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Notices: </w:t>
      </w:r>
      <w:r>
        <w:rPr>
          <w:rFonts w:ascii="Times New Roman" w:eastAsia="Times New Roman" w:hAnsi="Times New Roman" w:cs="Times New Roman"/>
          <w:sz w:val="24"/>
          <w:szCs w:val="24"/>
        </w:rPr>
        <w:t>Notices, if any, will be displayed on Department Notice Board and CMS.</w:t>
      </w:r>
    </w:p>
    <w:p w:rsidR="001F171A" w:rsidRDefault="001F171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2A4E" w:rsidRDefault="008A4682" w:rsidP="007F2A4E">
      <w:pPr>
        <w:spacing w:after="0"/>
        <w:ind w:left="-72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Make-up Policy:</w:t>
      </w:r>
      <w:r w:rsidR="00D52A7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make-up for an evaluation component will be given only in genuine cases. In health related issues student has to bring a letter from warden as per the latest SWD guidelines.</w:t>
      </w:r>
    </w:p>
    <w:p w:rsidR="007F2A4E" w:rsidRDefault="007F2A4E" w:rsidP="007F2A4E">
      <w:pPr>
        <w:spacing w:after="0"/>
        <w:ind w:left="-720" w:right="-540"/>
        <w:jc w:val="both"/>
        <w:rPr>
          <w:b/>
        </w:rPr>
      </w:pPr>
    </w:p>
    <w:p w:rsidR="007F2A4E" w:rsidRPr="007F2A4E" w:rsidRDefault="007F2A4E" w:rsidP="007F2A4E">
      <w:pPr>
        <w:spacing w:after="0"/>
        <w:ind w:left="-72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0418E">
        <w:rPr>
          <w:b/>
        </w:rPr>
        <w:t xml:space="preserve">Academic Honesty and Integrity Policy: </w:t>
      </w:r>
      <w:r w:rsidRPr="0000418E">
        <w:t>Academic honesty and integrity are to be maintained by all the students throughout the semester and no type of academic dishonesty is acceptable.</w:t>
      </w:r>
    </w:p>
    <w:p w:rsidR="007F2A4E" w:rsidRDefault="007F2A4E" w:rsidP="002555D3">
      <w:pPr>
        <w:spacing w:after="0"/>
        <w:ind w:left="-72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Default="001F171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Default="008A4682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Biswanath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Dash</w:t>
      </w:r>
    </w:p>
    <w:p w:rsidR="001F171A" w:rsidRDefault="008A4682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INSTRUCTOR-IN-CHARGE</w:t>
      </w:r>
    </w:p>
    <w:p w:rsidR="001F171A" w:rsidRDefault="001F171A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F171A" w:rsidRDefault="001F171A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Default="001F171A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171A" w:rsidRDefault="001F171A">
      <w:pPr>
        <w:spacing w:after="0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F171A" w:rsidRDefault="001F171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F171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FA9" w:rsidRDefault="00192FA9">
      <w:pPr>
        <w:spacing w:after="0" w:line="240" w:lineRule="auto"/>
      </w:pPr>
      <w:r>
        <w:separator/>
      </w:r>
    </w:p>
  </w:endnote>
  <w:endnote w:type="continuationSeparator" w:id="0">
    <w:p w:rsidR="00192FA9" w:rsidRDefault="0019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1A" w:rsidRDefault="008A4682">
    <w:pPr>
      <w:ind w:left="-720"/>
    </w:pPr>
    <w:r>
      <w:rPr>
        <w:noProof/>
        <w:lang w:val="en-IN" w:eastAsia="en-IN"/>
      </w:rPr>
      <w:drawing>
        <wp:inline distT="114300" distB="114300" distL="114300" distR="114300">
          <wp:extent cx="1647825" cy="600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FA9" w:rsidRDefault="00192FA9">
      <w:pPr>
        <w:spacing w:after="0" w:line="240" w:lineRule="auto"/>
      </w:pPr>
      <w:r>
        <w:separator/>
      </w:r>
    </w:p>
  </w:footnote>
  <w:footnote w:type="continuationSeparator" w:id="0">
    <w:p w:rsidR="00192FA9" w:rsidRDefault="00192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B52EA"/>
    <w:multiLevelType w:val="multilevel"/>
    <w:tmpl w:val="2CC2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1A"/>
    <w:rsid w:val="000446C9"/>
    <w:rsid w:val="00066529"/>
    <w:rsid w:val="00074E28"/>
    <w:rsid w:val="001331B1"/>
    <w:rsid w:val="00192FA9"/>
    <w:rsid w:val="001C57F4"/>
    <w:rsid w:val="001F171A"/>
    <w:rsid w:val="001F77CC"/>
    <w:rsid w:val="00211AB7"/>
    <w:rsid w:val="002555D3"/>
    <w:rsid w:val="002D39FF"/>
    <w:rsid w:val="003318C4"/>
    <w:rsid w:val="00336B2F"/>
    <w:rsid w:val="004C2D30"/>
    <w:rsid w:val="005B263E"/>
    <w:rsid w:val="0072603C"/>
    <w:rsid w:val="00755052"/>
    <w:rsid w:val="007F2A4E"/>
    <w:rsid w:val="008A4682"/>
    <w:rsid w:val="008A5153"/>
    <w:rsid w:val="0091743B"/>
    <w:rsid w:val="00942CF0"/>
    <w:rsid w:val="00CC6D94"/>
    <w:rsid w:val="00CD57CB"/>
    <w:rsid w:val="00D52A75"/>
    <w:rsid w:val="00DD79D1"/>
    <w:rsid w:val="00E879DE"/>
    <w:rsid w:val="00F7579F"/>
    <w:rsid w:val="00F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0CBC"/>
  <w15:docId w15:val="{7657A3B1-7621-42B5-A112-16C11A92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120E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"/>
    <w:next w:val="Normal"/>
    <w:link w:val="Heading1Char"/>
    <w:rsid w:val="0011120E"/>
    <w:pPr>
      <w:keepNext/>
      <w:spacing w:after="0" w:line="240" w:lineRule="auto"/>
      <w:contextualSpacing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11120E"/>
    <w:rPr>
      <w:rFonts w:ascii="Times New Roman" w:eastAsia="Times New Roman" w:hAnsi="Times New Roman" w:cs="Times New Roman"/>
      <w:color w:val="000000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  <w:rsid w:val="0011120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1C57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ny5dGN9yY7yMkbpp4apSOU6JA==">AMUW2mURiGxSm7cgoW8a7VaRNE+ngzMfxOFkr/UI6tYBG/eWHrslwIvN45DA5Dgz9lVHQQj8/DtOHUE2N8X3Bq3UKy7luwWU2XM9rFN14v3ChUNnLH3/yXuUFDVEvdCJrtL4zIeYJEFZ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</cp:revision>
  <dcterms:created xsi:type="dcterms:W3CDTF">2019-12-06T10:12:00Z</dcterms:created>
  <dcterms:modified xsi:type="dcterms:W3CDTF">2020-01-04T10:13:00Z</dcterms:modified>
</cp:coreProperties>
</file>