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F9" w:rsidRDefault="00595B6E" w:rsidP="00B940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5CAEC" wp14:editId="55768D6F">
            <wp:extent cx="5338632" cy="110490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9" cy="110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F3" w:rsidRPr="008F3AE8" w:rsidRDefault="003A312C" w:rsidP="00B940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SEMESTER 2019</w:t>
      </w:r>
      <w:r w:rsidR="00595B6E" w:rsidRPr="008F3AE8">
        <w:rPr>
          <w:rFonts w:ascii="Times New Roman" w:hAnsi="Times New Roman" w:cs="Times New Roman"/>
          <w:b/>
          <w:sz w:val="28"/>
          <w:szCs w:val="28"/>
        </w:rPr>
        <w:t>-20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B940F3" w:rsidRPr="008F3AE8" w:rsidRDefault="00B940F3" w:rsidP="00B940F3">
      <w:pPr>
        <w:pStyle w:val="NoSpacing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 w:rsidRPr="008F3AE8">
        <w:rPr>
          <w:rFonts w:ascii="Times New Roman" w:hAnsi="Times New Roman" w:cs="Times New Roman"/>
          <w:sz w:val="28"/>
          <w:szCs w:val="28"/>
        </w:rPr>
        <w:t>(Course Handout Part II)</w:t>
      </w:r>
    </w:p>
    <w:p w:rsidR="00E04FB9" w:rsidRPr="00595B6E" w:rsidRDefault="00595B6E" w:rsidP="00E02CD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595B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B940F3" w:rsidRPr="00595B6E">
        <w:rPr>
          <w:rFonts w:ascii="Times New Roman" w:hAnsi="Times New Roman" w:cs="Times New Roman"/>
          <w:sz w:val="24"/>
          <w:szCs w:val="24"/>
        </w:rPr>
        <w:t xml:space="preserve">     </w:t>
      </w:r>
      <w:r w:rsidR="008F3AE8">
        <w:rPr>
          <w:rFonts w:ascii="Times New Roman" w:hAnsi="Times New Roman" w:cs="Times New Roman"/>
          <w:sz w:val="24"/>
          <w:szCs w:val="24"/>
        </w:rPr>
        <w:t xml:space="preserve">    </w:t>
      </w:r>
      <w:r w:rsidR="00655B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40F3" w:rsidRPr="00774C08">
        <w:rPr>
          <w:rFonts w:ascii="Times New Roman" w:hAnsi="Times New Roman" w:cs="Times New Roman"/>
          <w:sz w:val="24"/>
          <w:szCs w:val="24"/>
        </w:rPr>
        <w:t>Dated:</w:t>
      </w:r>
      <w:r w:rsidR="00774C08">
        <w:rPr>
          <w:rFonts w:ascii="Times New Roman" w:hAnsi="Times New Roman" w:cs="Times New Roman"/>
          <w:sz w:val="24"/>
          <w:szCs w:val="24"/>
        </w:rPr>
        <w:t xml:space="preserve"> </w:t>
      </w:r>
      <w:r w:rsidR="00B07DF5">
        <w:rPr>
          <w:rFonts w:ascii="Times New Roman" w:hAnsi="Times New Roman" w:cs="Times New Roman"/>
          <w:sz w:val="24"/>
          <w:szCs w:val="24"/>
        </w:rPr>
        <w:t>01.08.2019</w:t>
      </w:r>
    </w:p>
    <w:p w:rsidR="00595B6E" w:rsidRPr="00595B6E" w:rsidRDefault="00595B6E" w:rsidP="00B940F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595B6E" w:rsidRPr="008F3AE8" w:rsidRDefault="00595B6E" w:rsidP="00595B6E">
      <w:pPr>
        <w:pStyle w:val="BodyText"/>
      </w:pPr>
      <w:r w:rsidRPr="008F3AE8">
        <w:t>In addition to Part-I (General Handout for all courses appended to the time table) this portion gives further specific details regarding the course.</w:t>
      </w:r>
    </w:p>
    <w:p w:rsidR="00595B6E" w:rsidRPr="008F3AE8" w:rsidRDefault="00595B6E" w:rsidP="00595B6E">
      <w:pPr>
        <w:jc w:val="both"/>
      </w:pPr>
    </w:p>
    <w:p w:rsidR="00595B6E" w:rsidRPr="008F3AE8" w:rsidRDefault="00595B6E" w:rsidP="00595B6E">
      <w:pPr>
        <w:jc w:val="both"/>
        <w:rPr>
          <w:b/>
          <w:bCs/>
        </w:rPr>
      </w:pPr>
      <w:r w:rsidRPr="008F3AE8">
        <w:rPr>
          <w:b/>
          <w:i/>
        </w:rPr>
        <w:t>Course No.</w:t>
      </w:r>
      <w:r w:rsidRPr="008F3AE8">
        <w:rPr>
          <w:b/>
        </w:rPr>
        <w:tab/>
      </w:r>
      <w:r w:rsidRPr="008F3AE8">
        <w:rPr>
          <w:b/>
        </w:rPr>
        <w:tab/>
        <w:t xml:space="preserve"> : </w:t>
      </w:r>
      <w:r w:rsidRPr="008F3AE8">
        <w:rPr>
          <w:b/>
          <w:bCs/>
        </w:rPr>
        <w:t>BIO G612</w:t>
      </w:r>
    </w:p>
    <w:p w:rsidR="00595B6E" w:rsidRPr="008F3AE8" w:rsidRDefault="00595B6E" w:rsidP="00595B6E">
      <w:pPr>
        <w:jc w:val="both"/>
        <w:rPr>
          <w:b/>
        </w:rPr>
      </w:pPr>
      <w:r w:rsidRPr="008F3AE8">
        <w:rPr>
          <w:b/>
          <w:i/>
        </w:rPr>
        <w:t>Course title</w:t>
      </w:r>
      <w:r w:rsidRPr="008F3AE8">
        <w:rPr>
          <w:b/>
        </w:rPr>
        <w:tab/>
      </w:r>
      <w:r w:rsidRPr="008F3AE8">
        <w:rPr>
          <w:b/>
        </w:rPr>
        <w:tab/>
        <w:t xml:space="preserve"> : Human </w:t>
      </w:r>
      <w:r w:rsidRPr="008F3AE8">
        <w:rPr>
          <w:b/>
          <w:bCs/>
        </w:rPr>
        <w:t>Genetics</w:t>
      </w:r>
    </w:p>
    <w:p w:rsidR="00595B6E" w:rsidRPr="008F3AE8" w:rsidRDefault="00595B6E" w:rsidP="00595B6E">
      <w:pPr>
        <w:jc w:val="both"/>
        <w:rPr>
          <w:b/>
          <w:bCs/>
          <w:color w:val="000000" w:themeColor="text1"/>
        </w:rPr>
      </w:pPr>
      <w:r w:rsidRPr="008F3AE8">
        <w:rPr>
          <w:b/>
          <w:i/>
        </w:rPr>
        <w:t>Instructor-in-charge</w:t>
      </w:r>
      <w:r w:rsidRPr="008F3AE8">
        <w:rPr>
          <w:b/>
        </w:rPr>
        <w:t xml:space="preserve"> </w:t>
      </w:r>
      <w:r w:rsidRPr="008F3AE8">
        <w:rPr>
          <w:b/>
        </w:rPr>
        <w:tab/>
        <w:t xml:space="preserve"> : </w:t>
      </w:r>
      <w:r w:rsidRPr="008F3AE8">
        <w:rPr>
          <w:b/>
          <w:bCs/>
          <w:color w:val="000000" w:themeColor="text1"/>
        </w:rPr>
        <w:t>Piyush Khandelia</w:t>
      </w:r>
    </w:p>
    <w:p w:rsidR="00595B6E" w:rsidRPr="008F3AE8" w:rsidRDefault="00595B6E" w:rsidP="00595B6E">
      <w:pPr>
        <w:jc w:val="both"/>
        <w:rPr>
          <w:b/>
          <w:bCs/>
          <w:color w:val="000000" w:themeColor="text1"/>
        </w:rPr>
      </w:pPr>
      <w:r w:rsidRPr="008F3AE8">
        <w:rPr>
          <w:b/>
          <w:bCs/>
          <w:i/>
        </w:rPr>
        <w:t>I</w:t>
      </w:r>
      <w:r w:rsidRPr="008F3AE8">
        <w:rPr>
          <w:b/>
          <w:i/>
        </w:rPr>
        <w:t>nstructors</w:t>
      </w:r>
      <w:r w:rsidRPr="008F3AE8">
        <w:rPr>
          <w:b/>
        </w:rPr>
        <w:t xml:space="preserve"> </w:t>
      </w:r>
      <w:r w:rsidRPr="008F3AE8">
        <w:rPr>
          <w:b/>
          <w:bCs/>
        </w:rPr>
        <w:tab/>
      </w:r>
      <w:r w:rsidRPr="008F3AE8">
        <w:rPr>
          <w:b/>
          <w:bCs/>
        </w:rPr>
        <w:tab/>
        <w:t xml:space="preserve"> : N/A</w:t>
      </w:r>
      <w:r w:rsidRPr="008F3AE8">
        <w:rPr>
          <w:b/>
          <w:bCs/>
          <w:color w:val="000000" w:themeColor="text1"/>
        </w:rPr>
        <w:t xml:space="preserve"> </w:t>
      </w:r>
    </w:p>
    <w:p w:rsidR="00595B6E" w:rsidRPr="008F3AE8" w:rsidRDefault="00595B6E" w:rsidP="00595B6E">
      <w:pPr>
        <w:jc w:val="both"/>
        <w:rPr>
          <w:b/>
          <w:bCs/>
          <w:color w:val="FF0000"/>
        </w:rPr>
      </w:pPr>
    </w:p>
    <w:p w:rsidR="00B940F3" w:rsidRPr="008F3AE8" w:rsidRDefault="00B940F3" w:rsidP="00B940F3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AE8">
        <w:rPr>
          <w:rFonts w:ascii="Times New Roman" w:hAnsi="Times New Roman" w:cs="Times New Roman"/>
          <w:b/>
          <w:bCs/>
          <w:sz w:val="24"/>
          <w:szCs w:val="24"/>
        </w:rPr>
        <w:t>1. Course Description:</w:t>
      </w:r>
    </w:p>
    <w:p w:rsidR="00B940F3" w:rsidRPr="008F3AE8" w:rsidRDefault="00460FD5" w:rsidP="00B940F3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AE8">
        <w:rPr>
          <w:rFonts w:ascii="Times New Roman" w:hAnsi="Times New Roman" w:cs="Times New Roman"/>
          <w:bCs/>
          <w:sz w:val="24"/>
          <w:szCs w:val="24"/>
        </w:rPr>
        <w:t>The course will provide a survey on the current status of human genetics with an e</w:t>
      </w:r>
      <w:r w:rsidR="005D7C60" w:rsidRPr="008F3AE8">
        <w:rPr>
          <w:rFonts w:ascii="Times New Roman" w:hAnsi="Times New Roman" w:cs="Times New Roman"/>
          <w:bCs/>
          <w:sz w:val="24"/>
          <w:szCs w:val="24"/>
        </w:rPr>
        <w:t>qual emphasis on</w:t>
      </w:r>
      <w:r w:rsidR="00595B6E" w:rsidRPr="008F3AE8">
        <w:rPr>
          <w:rFonts w:ascii="Times New Roman" w:hAnsi="Times New Roman" w:cs="Times New Roman"/>
          <w:bCs/>
          <w:sz w:val="24"/>
          <w:szCs w:val="24"/>
        </w:rPr>
        <w:t xml:space="preserve"> molecular </w:t>
      </w:r>
      <w:r w:rsidRPr="008F3AE8">
        <w:rPr>
          <w:rFonts w:ascii="Times New Roman" w:hAnsi="Times New Roman" w:cs="Times New Roman"/>
          <w:bCs/>
          <w:sz w:val="24"/>
          <w:szCs w:val="24"/>
        </w:rPr>
        <w:t xml:space="preserve">genetic, genomic and population genetic approaches. Specific problems in human genetics will be addressed with examples </w:t>
      </w:r>
      <w:r w:rsidR="00B64D7F" w:rsidRPr="008F3AE8">
        <w:rPr>
          <w:rFonts w:ascii="Times New Roman" w:hAnsi="Times New Roman" w:cs="Times New Roman"/>
          <w:bCs/>
          <w:sz w:val="24"/>
          <w:szCs w:val="24"/>
        </w:rPr>
        <w:t>from molecular genetics of</w:t>
      </w:r>
      <w:r w:rsidR="00600455" w:rsidRPr="008F3AE8">
        <w:rPr>
          <w:rFonts w:ascii="Times New Roman" w:hAnsi="Times New Roman" w:cs="Times New Roman"/>
          <w:bCs/>
          <w:sz w:val="24"/>
          <w:szCs w:val="24"/>
        </w:rPr>
        <w:t xml:space="preserve"> common traits and genetic disorders</w:t>
      </w:r>
      <w:r w:rsidRPr="008F3AE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940F3" w:rsidRPr="008F3AE8" w:rsidRDefault="00B940F3" w:rsidP="00B940F3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40F3" w:rsidRPr="008F3AE8" w:rsidRDefault="00B940F3" w:rsidP="00B940F3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AE8">
        <w:rPr>
          <w:rFonts w:ascii="Times New Roman" w:hAnsi="Times New Roman" w:cs="Times New Roman"/>
          <w:b/>
          <w:bCs/>
          <w:sz w:val="24"/>
          <w:szCs w:val="24"/>
        </w:rPr>
        <w:t xml:space="preserve">2. Scope &amp; Objective: </w:t>
      </w:r>
    </w:p>
    <w:p w:rsidR="00B940F3" w:rsidRPr="008F3AE8" w:rsidRDefault="00B940F3" w:rsidP="00B940F3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AE8">
        <w:rPr>
          <w:rFonts w:ascii="Times New Roman" w:hAnsi="Times New Roman" w:cs="Times New Roman"/>
          <w:color w:val="000000"/>
          <w:sz w:val="24"/>
          <w:szCs w:val="24"/>
        </w:rPr>
        <w:t>The course is aimed at making the student</w:t>
      </w:r>
      <w:r w:rsidR="00460FD5"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 well-versed </w:t>
      </w:r>
      <w:r w:rsidR="005D7C60"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460FD5"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the methods of identification and </w:t>
      </w:r>
      <w:r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analysis of human genes in </w:t>
      </w:r>
      <w:r w:rsidR="00BD4CBF"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populations, </w:t>
      </w:r>
      <w:r w:rsidRPr="008F3AE8">
        <w:rPr>
          <w:rFonts w:ascii="Times New Roman" w:hAnsi="Times New Roman" w:cs="Times New Roman"/>
          <w:color w:val="000000"/>
          <w:sz w:val="24"/>
          <w:szCs w:val="24"/>
        </w:rPr>
        <w:t>health a</w:t>
      </w:r>
      <w:r w:rsidR="00460FD5" w:rsidRPr="008F3AE8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 disease. </w:t>
      </w:r>
      <w:r w:rsidR="005D7C60" w:rsidRPr="008F3AE8">
        <w:rPr>
          <w:rFonts w:ascii="Times New Roman" w:hAnsi="Times New Roman" w:cs="Times New Roman"/>
          <w:color w:val="000000"/>
          <w:sz w:val="24"/>
          <w:szCs w:val="24"/>
        </w:rPr>
        <w:t>Different human genetic</w:t>
      </w:r>
      <w:r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 approaches will be discussed in detail in the context of </w:t>
      </w:r>
      <w:r w:rsidR="00460FD5" w:rsidRPr="008F3AE8">
        <w:rPr>
          <w:rFonts w:ascii="Times New Roman" w:hAnsi="Times New Roman" w:cs="Times New Roman"/>
          <w:color w:val="000000"/>
          <w:sz w:val="24"/>
          <w:szCs w:val="24"/>
        </w:rPr>
        <w:t xml:space="preserve">disorders due to inherited or acquired mutations. </w:t>
      </w:r>
    </w:p>
    <w:p w:rsidR="00460FD5" w:rsidRPr="008F3AE8" w:rsidRDefault="00460FD5" w:rsidP="00B940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40F3" w:rsidRPr="008F3AE8" w:rsidRDefault="00D54CF1" w:rsidP="00B940F3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B940F3" w:rsidRPr="008F3AE8">
        <w:rPr>
          <w:rFonts w:ascii="Times New Roman" w:hAnsi="Times New Roman" w:cs="Times New Roman"/>
          <w:b/>
          <w:bCs/>
          <w:sz w:val="24"/>
          <w:szCs w:val="24"/>
        </w:rPr>
        <w:t>Text Book</w:t>
      </w:r>
      <w:r w:rsidR="00916671" w:rsidRPr="008F3AE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940F3" w:rsidRPr="008F3AE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F11835" w:rsidRPr="008F3AE8" w:rsidRDefault="00595B6E" w:rsidP="00595B6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F3AE8">
        <w:rPr>
          <w:rFonts w:ascii="Times New Roman" w:hAnsi="Times New Roman" w:cs="Times New Roman"/>
          <w:b/>
          <w:sz w:val="24"/>
          <w:szCs w:val="24"/>
        </w:rPr>
        <w:t>1.</w:t>
      </w:r>
      <w:r w:rsidRPr="008F3AE8">
        <w:rPr>
          <w:rFonts w:ascii="Times New Roman" w:hAnsi="Times New Roman" w:cs="Times New Roman"/>
          <w:sz w:val="24"/>
          <w:szCs w:val="24"/>
        </w:rPr>
        <w:t xml:space="preserve"> </w:t>
      </w:r>
      <w:r w:rsidR="00645542" w:rsidRPr="008F3AE8">
        <w:rPr>
          <w:rFonts w:ascii="Times New Roman" w:hAnsi="Times New Roman" w:cs="Times New Roman"/>
          <w:sz w:val="24"/>
          <w:szCs w:val="24"/>
        </w:rPr>
        <w:t xml:space="preserve">Human Molecular Genetics: </w:t>
      </w:r>
      <w:r w:rsidR="002A1BF4" w:rsidRPr="008F3AE8">
        <w:rPr>
          <w:rFonts w:ascii="Times New Roman" w:hAnsi="Times New Roman" w:cs="Times New Roman"/>
          <w:sz w:val="24"/>
          <w:szCs w:val="24"/>
        </w:rPr>
        <w:t>Strachen, T. and Read,</w:t>
      </w:r>
      <w:r w:rsidR="00645542" w:rsidRPr="008F3AE8">
        <w:rPr>
          <w:rFonts w:ascii="Times New Roman" w:hAnsi="Times New Roman" w:cs="Times New Roman"/>
          <w:sz w:val="24"/>
          <w:szCs w:val="24"/>
        </w:rPr>
        <w:t xml:space="preserve"> A., </w:t>
      </w:r>
      <w:r w:rsidR="002A1BF4" w:rsidRPr="008F3AE8">
        <w:rPr>
          <w:rFonts w:ascii="Times New Roman" w:hAnsi="Times New Roman" w:cs="Times New Roman"/>
          <w:sz w:val="24"/>
          <w:szCs w:val="24"/>
        </w:rPr>
        <w:t>4</w:t>
      </w:r>
      <w:r w:rsidR="002A1BF4" w:rsidRPr="008F3A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45542" w:rsidRPr="008F3AE8">
        <w:rPr>
          <w:rFonts w:ascii="Times New Roman" w:hAnsi="Times New Roman" w:cs="Times New Roman"/>
          <w:sz w:val="24"/>
          <w:szCs w:val="24"/>
        </w:rPr>
        <w:t xml:space="preserve"> Edi</w:t>
      </w:r>
      <w:r w:rsidR="002A1BF4" w:rsidRPr="008F3AE8">
        <w:rPr>
          <w:rFonts w:ascii="Times New Roman" w:hAnsi="Times New Roman" w:cs="Times New Roman"/>
          <w:sz w:val="24"/>
          <w:szCs w:val="24"/>
        </w:rPr>
        <w:t xml:space="preserve">tion; Garland Science Publishers, </w:t>
      </w:r>
      <w:r w:rsidR="00645542" w:rsidRPr="008F3AE8">
        <w:rPr>
          <w:rFonts w:ascii="Times New Roman" w:hAnsi="Times New Roman" w:cs="Times New Roman"/>
          <w:sz w:val="24"/>
          <w:szCs w:val="24"/>
        </w:rPr>
        <w:t>UK, 2011</w:t>
      </w:r>
      <w:r w:rsidR="008B260A" w:rsidRPr="008F3AE8">
        <w:rPr>
          <w:rFonts w:ascii="Times New Roman" w:hAnsi="Times New Roman" w:cs="Times New Roman"/>
          <w:sz w:val="24"/>
          <w:szCs w:val="24"/>
        </w:rPr>
        <w:t xml:space="preserve">. </w:t>
      </w:r>
      <w:r w:rsidRPr="008F3AE8">
        <w:rPr>
          <w:rFonts w:ascii="Times New Roman" w:hAnsi="Times New Roman" w:cs="Times New Roman"/>
          <w:sz w:val="24"/>
          <w:szCs w:val="24"/>
        </w:rPr>
        <w:t>(</w:t>
      </w:r>
      <w:r w:rsidR="00F11835" w:rsidRPr="008F3AE8">
        <w:rPr>
          <w:rFonts w:ascii="Times New Roman" w:hAnsi="Times New Roman" w:cs="Times New Roman"/>
          <w:sz w:val="24"/>
          <w:szCs w:val="24"/>
        </w:rPr>
        <w:t>This would be the main book from where</w:t>
      </w:r>
      <w:r w:rsidRPr="008F3AE8">
        <w:rPr>
          <w:rFonts w:ascii="Times New Roman" w:hAnsi="Times New Roman" w:cs="Times New Roman"/>
          <w:sz w:val="24"/>
          <w:szCs w:val="24"/>
        </w:rPr>
        <w:t xml:space="preserve"> </w:t>
      </w:r>
      <w:r w:rsidR="00645542" w:rsidRPr="008F3AE8">
        <w:rPr>
          <w:rFonts w:ascii="Times New Roman" w:hAnsi="Times New Roman" w:cs="Times New Roman"/>
          <w:sz w:val="24"/>
          <w:szCs w:val="24"/>
        </w:rPr>
        <w:t>the lectures will be delivered)</w:t>
      </w:r>
    </w:p>
    <w:p w:rsidR="00F11835" w:rsidRPr="008F3AE8" w:rsidRDefault="00595B6E" w:rsidP="00595B6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F3AE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F3A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1BF4" w:rsidRPr="008F3AE8">
        <w:rPr>
          <w:rFonts w:ascii="Times New Roman" w:hAnsi="Times New Roman" w:cs="Times New Roman"/>
          <w:bCs/>
          <w:sz w:val="24"/>
          <w:szCs w:val="24"/>
        </w:rPr>
        <w:t>Thompson and Thompson’s Genetics in Medicine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>:</w:t>
      </w:r>
      <w:r w:rsidR="002A1BF4" w:rsidRPr="008F3A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>Nussbaum, R.L.,</w:t>
      </w:r>
      <w:r w:rsidR="008F3AE8" w:rsidRPr="008F3AE8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 xml:space="preserve">cInnes, R.R. and Willard H.F, </w:t>
      </w:r>
      <w:r w:rsidR="002A1BF4" w:rsidRPr="008F3AE8">
        <w:rPr>
          <w:rFonts w:ascii="Times New Roman" w:hAnsi="Times New Roman" w:cs="Times New Roman"/>
          <w:bCs/>
          <w:sz w:val="24"/>
          <w:szCs w:val="24"/>
        </w:rPr>
        <w:t>7</w:t>
      </w:r>
      <w:r w:rsidR="002A1BF4" w:rsidRPr="008F3AE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2A1BF4" w:rsidRPr="008F3AE8">
        <w:rPr>
          <w:rFonts w:ascii="Times New Roman" w:hAnsi="Times New Roman" w:cs="Times New Roman"/>
          <w:bCs/>
          <w:sz w:val="24"/>
          <w:szCs w:val="24"/>
        </w:rPr>
        <w:t xml:space="preserve"> Edition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>;</w:t>
      </w:r>
      <w:r w:rsidR="002A1BF4" w:rsidRPr="008F3A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>Saunders-Elsevier Publishers, Indian Edition, 2011</w:t>
      </w:r>
      <w:r w:rsidR="00B64D7F" w:rsidRPr="008F3AE8">
        <w:rPr>
          <w:rFonts w:ascii="Times New Roman" w:hAnsi="Times New Roman" w:cs="Times New Roman"/>
          <w:bCs/>
          <w:sz w:val="24"/>
          <w:szCs w:val="24"/>
        </w:rPr>
        <w:t>.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 xml:space="preserve"> (G</w:t>
      </w:r>
      <w:r w:rsidR="00F11835" w:rsidRPr="008F3AE8">
        <w:rPr>
          <w:rFonts w:ascii="Times New Roman" w:hAnsi="Times New Roman" w:cs="Times New Roman"/>
          <w:bCs/>
          <w:sz w:val="24"/>
          <w:szCs w:val="24"/>
        </w:rPr>
        <w:t>ives basic outli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>n</w:t>
      </w:r>
      <w:r w:rsidR="008F3AE8" w:rsidRPr="008F3AE8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="00645542" w:rsidRPr="008F3AE8">
        <w:rPr>
          <w:rFonts w:ascii="Times New Roman" w:hAnsi="Times New Roman" w:cs="Times New Roman"/>
          <w:bCs/>
          <w:sz w:val="24"/>
          <w:szCs w:val="24"/>
        </w:rPr>
        <w:t>of the course, but not as exhaustive as T1)</w:t>
      </w:r>
    </w:p>
    <w:p w:rsidR="008B260A" w:rsidRPr="008F3AE8" w:rsidRDefault="008B260A" w:rsidP="008B260A">
      <w:pPr>
        <w:pStyle w:val="NoSpacing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5542" w:rsidRPr="008F3AE8" w:rsidRDefault="00D54CF1" w:rsidP="0064554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645542" w:rsidRPr="008F3AE8">
        <w:rPr>
          <w:rFonts w:ascii="Times New Roman" w:hAnsi="Times New Roman" w:cs="Times New Roman"/>
          <w:b/>
          <w:bCs/>
          <w:sz w:val="24"/>
          <w:szCs w:val="24"/>
        </w:rPr>
        <w:t xml:space="preserve">Reference books: </w:t>
      </w:r>
    </w:p>
    <w:p w:rsidR="00645542" w:rsidRPr="008F3AE8" w:rsidRDefault="00645542" w:rsidP="00645542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AE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F3AE8">
        <w:rPr>
          <w:rFonts w:ascii="Times New Roman" w:hAnsi="Times New Roman" w:cs="Times New Roman"/>
          <w:bCs/>
          <w:sz w:val="24"/>
          <w:szCs w:val="24"/>
        </w:rPr>
        <w:t xml:space="preserve"> Vogel and Motulsky’s Human Genetics: Problems and Approaches: Speicher M., Antonarakis, S.E. and Motulsky, A.G., 4</w:t>
      </w:r>
      <w:r w:rsidRPr="008F3AE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8F3AE8">
        <w:rPr>
          <w:rFonts w:ascii="Times New Roman" w:hAnsi="Times New Roman" w:cs="Times New Roman"/>
          <w:bCs/>
          <w:sz w:val="24"/>
          <w:szCs w:val="24"/>
        </w:rPr>
        <w:t xml:space="preserve"> Edition; Springer Publishers, 2011</w:t>
      </w:r>
    </w:p>
    <w:p w:rsidR="002A1BF4" w:rsidRPr="008F3AE8" w:rsidRDefault="002A1BF4" w:rsidP="008B260A">
      <w:pPr>
        <w:pStyle w:val="NoSpacing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5542" w:rsidRPr="008F3AE8" w:rsidRDefault="00D54CF1" w:rsidP="00645542">
      <w:pPr>
        <w:pStyle w:val="NoSpacing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645542" w:rsidRPr="008F3AE8">
        <w:rPr>
          <w:rFonts w:ascii="Times New Roman" w:hAnsi="Times New Roman" w:cs="Times New Roman"/>
          <w:b/>
          <w:sz w:val="24"/>
          <w:szCs w:val="24"/>
        </w:rPr>
        <w:t>Resources:</w:t>
      </w:r>
    </w:p>
    <w:p w:rsidR="00B940F3" w:rsidRPr="008F3AE8" w:rsidRDefault="008B260A" w:rsidP="00645542">
      <w:pPr>
        <w:pStyle w:val="NoSpacing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AE8">
        <w:rPr>
          <w:rFonts w:ascii="Times New Roman" w:hAnsi="Times New Roman" w:cs="Times New Roman"/>
          <w:sz w:val="24"/>
          <w:szCs w:val="24"/>
        </w:rPr>
        <w:t xml:space="preserve">Study material related to some topics will be provided as </w:t>
      </w:r>
      <w:r w:rsidR="00595B6E" w:rsidRPr="008F3AE8">
        <w:rPr>
          <w:rFonts w:ascii="Times New Roman" w:hAnsi="Times New Roman" w:cs="Times New Roman"/>
          <w:sz w:val="24"/>
          <w:szCs w:val="24"/>
        </w:rPr>
        <w:t>.</w:t>
      </w:r>
      <w:r w:rsidRPr="008F3AE8">
        <w:rPr>
          <w:rFonts w:ascii="Times New Roman" w:hAnsi="Times New Roman" w:cs="Times New Roman"/>
          <w:sz w:val="24"/>
          <w:szCs w:val="24"/>
        </w:rPr>
        <w:t>pdf versions</w:t>
      </w:r>
      <w:r w:rsidR="00A7264C" w:rsidRPr="008F3AE8">
        <w:rPr>
          <w:rFonts w:ascii="Times New Roman" w:hAnsi="Times New Roman" w:cs="Times New Roman"/>
          <w:sz w:val="24"/>
          <w:szCs w:val="24"/>
        </w:rPr>
        <w:t>.</w:t>
      </w:r>
      <w:r w:rsidRPr="008F3A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542" w:rsidRPr="008F3AE8" w:rsidRDefault="00645542" w:rsidP="00B457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5542" w:rsidRPr="008F3AE8" w:rsidRDefault="00645542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45542" w:rsidRPr="008F3AE8" w:rsidRDefault="00645542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45542" w:rsidRPr="008F3AE8" w:rsidRDefault="00645542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55BDB" w:rsidRDefault="00655BDB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55BDB" w:rsidRDefault="00655BDB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55BDB" w:rsidRDefault="00655BDB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55BDB" w:rsidRDefault="00655BDB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C342E" w:rsidRPr="008F3AE8" w:rsidRDefault="00D54CF1" w:rsidP="00B457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645542" w:rsidRPr="008F3AE8">
        <w:rPr>
          <w:rFonts w:ascii="Times New Roman" w:hAnsi="Times New Roman" w:cs="Times New Roman"/>
          <w:b/>
          <w:sz w:val="24"/>
          <w:szCs w:val="24"/>
        </w:rPr>
        <w:t>Course plan:</w:t>
      </w:r>
    </w:p>
    <w:p w:rsidR="00CD1EBA" w:rsidRPr="008F3AE8" w:rsidRDefault="00CD1EBA" w:rsidP="00CD1E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1165"/>
        <w:gridCol w:w="3150"/>
        <w:gridCol w:w="4533"/>
        <w:gridCol w:w="1682"/>
      </w:tblGrid>
      <w:tr w:rsidR="002E6EB3" w:rsidRPr="008F3AE8" w:rsidTr="00D54CF1">
        <w:trPr>
          <w:jc w:val="center"/>
        </w:trPr>
        <w:tc>
          <w:tcPr>
            <w:tcW w:w="1165" w:type="dxa"/>
          </w:tcPr>
          <w:p w:rsidR="00D04A49" w:rsidRPr="008F3AE8" w:rsidRDefault="00D04A49" w:rsidP="00645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b/>
                <w:sz w:val="24"/>
                <w:szCs w:val="24"/>
              </w:rPr>
              <w:t>Lectures</w:t>
            </w:r>
          </w:p>
        </w:tc>
        <w:tc>
          <w:tcPr>
            <w:tcW w:w="3150" w:type="dxa"/>
          </w:tcPr>
          <w:p w:rsidR="00D04A49" w:rsidRPr="008F3AE8" w:rsidRDefault="00D04A49" w:rsidP="00645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</w:t>
            </w:r>
            <w:r w:rsidR="00E34367" w:rsidRPr="008F3AE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533" w:type="dxa"/>
          </w:tcPr>
          <w:p w:rsidR="00D04A49" w:rsidRPr="008F3AE8" w:rsidRDefault="00D04A49" w:rsidP="00645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="00E34367" w:rsidRPr="008F3AE8">
              <w:rPr>
                <w:rFonts w:ascii="Times New Roman" w:hAnsi="Times New Roman" w:cs="Times New Roman"/>
                <w:b/>
                <w:sz w:val="24"/>
                <w:szCs w:val="24"/>
              </w:rPr>
              <w:t>s to be covered</w:t>
            </w:r>
          </w:p>
        </w:tc>
        <w:tc>
          <w:tcPr>
            <w:tcW w:w="1682" w:type="dxa"/>
          </w:tcPr>
          <w:p w:rsidR="00D04A49" w:rsidRPr="008F3AE8" w:rsidRDefault="00D04A49" w:rsidP="00645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  <w:r w:rsidR="00E34367" w:rsidRPr="008F3AE8">
              <w:rPr>
                <w:rFonts w:ascii="Times New Roman" w:hAnsi="Times New Roman" w:cs="Times New Roman"/>
                <w:b/>
                <w:sz w:val="24"/>
                <w:szCs w:val="24"/>
              </w:rPr>
              <w:t>erence</w:t>
            </w:r>
          </w:p>
          <w:p w:rsidR="00645542" w:rsidRPr="008F3AE8" w:rsidRDefault="00645542" w:rsidP="00645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</w:tcPr>
          <w:p w:rsidR="00D04A49" w:rsidRPr="008F3AE8" w:rsidRDefault="00D04A49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4CF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:rsidR="00D04A49" w:rsidRPr="008F3AE8" w:rsidRDefault="00D04A49" w:rsidP="005906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D04A49" w:rsidRPr="008F3AE8" w:rsidRDefault="002E6EB3" w:rsidP="00CF024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Knowing the h</w:t>
            </w:r>
            <w:r w:rsidR="00A65C9E"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istory of 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Human Genetics and its current status</w:t>
            </w:r>
          </w:p>
        </w:tc>
        <w:tc>
          <w:tcPr>
            <w:tcW w:w="4533" w:type="dxa"/>
          </w:tcPr>
          <w:p w:rsidR="00D04A49" w:rsidRPr="008F3AE8" w:rsidRDefault="00D04A49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2E6EB3" w:rsidRPr="008F3AE8">
              <w:rPr>
                <w:rFonts w:ascii="Times New Roman" w:hAnsi="Times New Roman" w:cs="Times New Roman"/>
                <w:sz w:val="24"/>
                <w:szCs w:val="24"/>
              </w:rPr>
              <w:t>, Garrod’s in-born errors of metabolism, discovery of sickle cell mutation, human cytogenetics, mapping the human genome, human genome project, human genetics in the post-genome project era.</w:t>
            </w:r>
          </w:p>
        </w:tc>
        <w:tc>
          <w:tcPr>
            <w:tcW w:w="1682" w:type="dxa"/>
          </w:tcPr>
          <w:p w:rsidR="00D04A49" w:rsidRDefault="00BD4CBF" w:rsidP="006004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D04A49"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 Notes</w:t>
            </w:r>
          </w:p>
          <w:p w:rsidR="00E074DC" w:rsidRDefault="00E074DC" w:rsidP="006004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Chapter 2</w:t>
            </w:r>
          </w:p>
          <w:p w:rsidR="00D54CF1" w:rsidRDefault="00515704" w:rsidP="006004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Chapter 9</w:t>
            </w:r>
          </w:p>
          <w:p w:rsidR="00515704" w:rsidRPr="008F3AE8" w:rsidRDefault="00515704" w:rsidP="006004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Chapter 12</w:t>
            </w:r>
          </w:p>
        </w:tc>
      </w:tr>
      <w:tr w:rsidR="002E6EB3" w:rsidRPr="008F3AE8" w:rsidTr="00D54CF1">
        <w:trPr>
          <w:trHeight w:val="691"/>
          <w:jc w:val="center"/>
        </w:trPr>
        <w:tc>
          <w:tcPr>
            <w:tcW w:w="1165" w:type="dxa"/>
            <w:shd w:val="clear" w:color="auto" w:fill="auto"/>
          </w:tcPr>
          <w:p w:rsidR="002E6EB3" w:rsidRPr="008F3AE8" w:rsidRDefault="00D54CF1" w:rsidP="002E6EB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E6EB3" w:rsidRPr="008F3AE8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  <w:p w:rsidR="002E6EB3" w:rsidRPr="008F3AE8" w:rsidRDefault="002E6EB3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:rsidR="002E6EB3" w:rsidRPr="008F3AE8" w:rsidRDefault="002E6EB3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Understanding the mode of transmission of genes and interactions between genes</w:t>
            </w:r>
          </w:p>
        </w:tc>
        <w:tc>
          <w:tcPr>
            <w:tcW w:w="4533" w:type="dxa"/>
            <w:shd w:val="clear" w:color="auto" w:fill="auto"/>
          </w:tcPr>
          <w:p w:rsidR="002E6EB3" w:rsidRPr="008F3AE8" w:rsidRDefault="002E6EB3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Mendelian Inheritance in man, pedigree analysis, epistasis, X-linked inheritance, probability and gene ratios, multiple alleles and polygenic inheritance</w:t>
            </w:r>
          </w:p>
        </w:tc>
        <w:tc>
          <w:tcPr>
            <w:tcW w:w="1682" w:type="dxa"/>
            <w:shd w:val="clear" w:color="auto" w:fill="auto"/>
          </w:tcPr>
          <w:p w:rsidR="00D54CF1" w:rsidRPr="008F3AE8" w:rsidRDefault="00D54CF1" w:rsidP="00D54CF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3</w:t>
            </w:r>
          </w:p>
          <w:p w:rsidR="00D54CF1" w:rsidRDefault="00D54CF1" w:rsidP="00D54CF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E6EB3" w:rsidRPr="008F3AE8" w:rsidRDefault="00BD4CBF" w:rsidP="00D54CF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D54CF1">
              <w:rPr>
                <w:rFonts w:ascii="Times New Roman" w:hAnsi="Times New Roman" w:cs="Times New Roman"/>
                <w:sz w:val="24"/>
                <w:szCs w:val="24"/>
              </w:rPr>
              <w:t xml:space="preserve"> Notes</w:t>
            </w:r>
          </w:p>
          <w:p w:rsidR="002E6EB3" w:rsidRPr="008F3AE8" w:rsidRDefault="002E6EB3" w:rsidP="002E6E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  <w:shd w:val="clear" w:color="auto" w:fill="auto"/>
          </w:tcPr>
          <w:p w:rsidR="00D04A49" w:rsidRPr="008F3AE8" w:rsidRDefault="002E6EB3" w:rsidP="002E6EB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8-1</w:t>
            </w:r>
            <w:r w:rsidR="002D7A2F" w:rsidRPr="008F3A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D04A49" w:rsidRPr="008F3AE8" w:rsidRDefault="002E6EB3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Identification of a disease-causing locus for single gene disorders</w:t>
            </w:r>
          </w:p>
        </w:tc>
        <w:tc>
          <w:tcPr>
            <w:tcW w:w="4533" w:type="dxa"/>
            <w:shd w:val="clear" w:color="auto" w:fill="auto"/>
          </w:tcPr>
          <w:p w:rsidR="00D04A49" w:rsidRPr="008F3AE8" w:rsidRDefault="002E6EB3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History of genetic maps: two- and three</w:t>
            </w:r>
            <w:r w:rsidR="00CD6FA7" w:rsidRPr="008F3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point mapping for determining gene order, </w:t>
            </w:r>
            <w:r w:rsidR="000A4FA3"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tetrad analysis in yeast and </w:t>
            </w:r>
            <w:r w:rsidR="000A4FA3" w:rsidRPr="008F3AE8">
              <w:rPr>
                <w:rFonts w:ascii="Times New Roman" w:hAnsi="Times New Roman" w:cs="Times New Roman"/>
                <w:i/>
                <w:sz w:val="24"/>
                <w:szCs w:val="24"/>
              </w:rPr>
              <w:t>Neurospora</w:t>
            </w:r>
            <w:r w:rsidR="000A4FA3" w:rsidRPr="008F3AE8">
              <w:rPr>
                <w:rFonts w:ascii="Times New Roman" w:hAnsi="Times New Roman" w:cs="Times New Roman"/>
                <w:sz w:val="24"/>
                <w:szCs w:val="24"/>
              </w:rPr>
              <w:t>; mapping disease-causing</w:t>
            </w:r>
            <w:r w:rsidR="00D54CF1">
              <w:rPr>
                <w:rFonts w:ascii="Times New Roman" w:hAnsi="Times New Roman" w:cs="Times New Roman"/>
                <w:sz w:val="24"/>
                <w:szCs w:val="24"/>
              </w:rPr>
              <w:t xml:space="preserve"> genes using human pedigrees, LO</w:t>
            </w:r>
            <w:r w:rsidR="000A4FA3"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D scores, Mapping function, </w:t>
            </w:r>
            <w:r w:rsidR="00CD6FA7" w:rsidRPr="008F3AE8">
              <w:rPr>
                <w:rFonts w:ascii="Times New Roman" w:hAnsi="Times New Roman" w:cs="Times New Roman"/>
                <w:sz w:val="24"/>
                <w:szCs w:val="24"/>
              </w:rPr>
              <w:t>Multi-point mapping</w:t>
            </w:r>
          </w:p>
        </w:tc>
        <w:tc>
          <w:tcPr>
            <w:tcW w:w="1682" w:type="dxa"/>
            <w:shd w:val="clear" w:color="auto" w:fill="auto"/>
          </w:tcPr>
          <w:p w:rsidR="00D04A49" w:rsidRDefault="00CD6FA7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14</w:t>
            </w:r>
          </w:p>
          <w:p w:rsidR="00D54CF1" w:rsidRPr="008F3AE8" w:rsidRDefault="00D54CF1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  <w:shd w:val="clear" w:color="auto" w:fill="auto"/>
          </w:tcPr>
          <w:p w:rsidR="00D04A49" w:rsidRPr="008F3AE8" w:rsidRDefault="000A4FA3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D7A2F" w:rsidRPr="008F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D7A2F" w:rsidRPr="008F3A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04A49" w:rsidRPr="008F3AE8" w:rsidRDefault="00D04A49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:rsidR="00D04A49" w:rsidRPr="008F3AE8" w:rsidRDefault="000A4FA3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Identification of genes conferring susceptibility to complex disorders</w:t>
            </w:r>
          </w:p>
        </w:tc>
        <w:tc>
          <w:tcPr>
            <w:tcW w:w="4533" w:type="dxa"/>
            <w:shd w:val="clear" w:color="auto" w:fill="auto"/>
          </w:tcPr>
          <w:p w:rsidR="00D04A49" w:rsidRPr="008F3AE8" w:rsidRDefault="00CD6FA7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Family studies of complex diseases, Segregation analysis, Linkage analysis of complex characters, Association studies and linkage disequilibrium, Association studies in practice, Limitations of association studies.</w:t>
            </w:r>
          </w:p>
        </w:tc>
        <w:tc>
          <w:tcPr>
            <w:tcW w:w="1682" w:type="dxa"/>
            <w:shd w:val="clear" w:color="auto" w:fill="auto"/>
          </w:tcPr>
          <w:p w:rsidR="00D04A49" w:rsidRPr="008F3AE8" w:rsidRDefault="00CD6FA7" w:rsidP="00F1183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15</w:t>
            </w:r>
          </w:p>
        </w:tc>
      </w:tr>
      <w:tr w:rsidR="000A4FA3" w:rsidRPr="008F3AE8" w:rsidTr="00D54CF1">
        <w:trPr>
          <w:jc w:val="center"/>
        </w:trPr>
        <w:tc>
          <w:tcPr>
            <w:tcW w:w="1165" w:type="dxa"/>
            <w:shd w:val="clear" w:color="auto" w:fill="auto"/>
          </w:tcPr>
          <w:p w:rsidR="000A4FA3" w:rsidRPr="008F3AE8" w:rsidRDefault="00CD6FA7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D7A2F" w:rsidRPr="008F3A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D7A2F" w:rsidRPr="008F3AE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50" w:type="dxa"/>
            <w:shd w:val="clear" w:color="auto" w:fill="auto"/>
          </w:tcPr>
          <w:p w:rsidR="000A4FA3" w:rsidRPr="008F3AE8" w:rsidRDefault="00CD6FA7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Understanding the variability in phenotypes because of mutations and allelic interactions</w:t>
            </w:r>
          </w:p>
        </w:tc>
        <w:tc>
          <w:tcPr>
            <w:tcW w:w="4533" w:type="dxa"/>
            <w:shd w:val="clear" w:color="auto" w:fill="auto"/>
          </w:tcPr>
          <w:p w:rsidR="000A4FA3" w:rsidRPr="008F3AE8" w:rsidRDefault="005F5216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Types of variation between human genomes, pathogenic DNA variants, Molecular pathology, Genotype-phenotype correlations</w:t>
            </w:r>
          </w:p>
        </w:tc>
        <w:tc>
          <w:tcPr>
            <w:tcW w:w="1682" w:type="dxa"/>
            <w:shd w:val="clear" w:color="auto" w:fill="auto"/>
          </w:tcPr>
          <w:p w:rsidR="000A4FA3" w:rsidRPr="008F3AE8" w:rsidRDefault="00CD6FA7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13</w:t>
            </w: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  <w:shd w:val="clear" w:color="auto" w:fill="auto"/>
          </w:tcPr>
          <w:p w:rsidR="00D04A49" w:rsidRPr="008F3AE8" w:rsidRDefault="002D7A2F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A4FA3" w:rsidRPr="008F3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D04A49" w:rsidRPr="008F3AE8" w:rsidRDefault="00D04A49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:rsidR="00D04A49" w:rsidRPr="008F3AE8" w:rsidRDefault="005F5216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Studying how gene frequencies vary in populations and understanding the factors influencing the gene frequencies</w:t>
            </w:r>
          </w:p>
        </w:tc>
        <w:tc>
          <w:tcPr>
            <w:tcW w:w="4533" w:type="dxa"/>
            <w:shd w:val="clear" w:color="auto" w:fill="auto"/>
          </w:tcPr>
          <w:p w:rsidR="00D04A49" w:rsidRPr="008F3AE8" w:rsidRDefault="005F5216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Hardy-Weinberg equilibrium and its extensions, Calculation of mutation rates, inbreeding coefficients in pedigrees, mutation-selection effects, human migration, small population sizes and genetic drift</w:t>
            </w:r>
          </w:p>
        </w:tc>
        <w:tc>
          <w:tcPr>
            <w:tcW w:w="1682" w:type="dxa"/>
            <w:shd w:val="clear" w:color="auto" w:fill="auto"/>
          </w:tcPr>
          <w:p w:rsidR="00D04A49" w:rsidRPr="008F3AE8" w:rsidRDefault="00BD4CBF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D04A49"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 Notes</w:t>
            </w:r>
          </w:p>
          <w:p w:rsidR="00D04A49" w:rsidRPr="008F3AE8" w:rsidRDefault="00D04A49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  <w:shd w:val="clear" w:color="auto" w:fill="auto"/>
          </w:tcPr>
          <w:p w:rsidR="00D04A49" w:rsidRPr="008F3AE8" w:rsidRDefault="002D7A2F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F5216" w:rsidRPr="008F3A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04A49" w:rsidRPr="008F3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D04A49" w:rsidRPr="008F3AE8" w:rsidRDefault="00D04A49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:rsidR="00D04A49" w:rsidRPr="008F3AE8" w:rsidRDefault="005F5216" w:rsidP="008C4DD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Understanding the genetic susceptibility of cancer and cancer-causing mechanisms</w:t>
            </w:r>
          </w:p>
        </w:tc>
        <w:tc>
          <w:tcPr>
            <w:tcW w:w="4533" w:type="dxa"/>
            <w:shd w:val="clear" w:color="auto" w:fill="auto"/>
          </w:tcPr>
          <w:p w:rsidR="00D04A49" w:rsidRPr="008F3AE8" w:rsidRDefault="005F5216" w:rsidP="00EA2D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The evolution of cancer, </w:t>
            </w:r>
            <w:r w:rsidR="002D7A2F" w:rsidRPr="008F3AE8">
              <w:rPr>
                <w:rFonts w:ascii="Times New Roman" w:hAnsi="Times New Roman" w:cs="Times New Roman"/>
                <w:sz w:val="24"/>
                <w:szCs w:val="24"/>
              </w:rPr>
              <w:t>Oncogenes and tumor suppressor genes, Cell cycle dysregulation in cancer, instability of the genome, genome-wide v</w:t>
            </w:r>
            <w:r w:rsidR="00707F67">
              <w:rPr>
                <w:rFonts w:ascii="Times New Roman" w:hAnsi="Times New Roman" w:cs="Times New Roman"/>
                <w:sz w:val="24"/>
                <w:szCs w:val="24"/>
              </w:rPr>
              <w:t>iews of cancer</w:t>
            </w:r>
          </w:p>
        </w:tc>
        <w:tc>
          <w:tcPr>
            <w:tcW w:w="1682" w:type="dxa"/>
            <w:shd w:val="clear" w:color="auto" w:fill="auto"/>
          </w:tcPr>
          <w:p w:rsidR="00D04A49" w:rsidRPr="008F3AE8" w:rsidRDefault="00D04A49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1</w:t>
            </w:r>
            <w:r w:rsidR="002D7A2F" w:rsidRPr="008F3A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04A49" w:rsidRPr="008F3AE8" w:rsidRDefault="00BD4CBF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D04A49" w:rsidRPr="008F3AE8">
              <w:rPr>
                <w:rFonts w:ascii="Times New Roman" w:hAnsi="Times New Roman" w:cs="Times New Roman"/>
                <w:sz w:val="24"/>
                <w:szCs w:val="24"/>
              </w:rPr>
              <w:t xml:space="preserve"> Notes</w:t>
            </w:r>
          </w:p>
          <w:p w:rsidR="00D04A49" w:rsidRPr="008F3AE8" w:rsidRDefault="00D04A49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</w:tcPr>
          <w:p w:rsidR="00D04A49" w:rsidRPr="008F3AE8" w:rsidRDefault="002D7A2F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32-36</w:t>
            </w:r>
          </w:p>
        </w:tc>
        <w:tc>
          <w:tcPr>
            <w:tcW w:w="3150" w:type="dxa"/>
          </w:tcPr>
          <w:p w:rsidR="00D04A49" w:rsidRPr="008F3AE8" w:rsidRDefault="002D7A2F" w:rsidP="005622D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How genetic tests are conducted in a clinical setting</w:t>
            </w:r>
          </w:p>
        </w:tc>
        <w:tc>
          <w:tcPr>
            <w:tcW w:w="4533" w:type="dxa"/>
          </w:tcPr>
          <w:p w:rsidR="00D04A49" w:rsidRPr="008F3AE8" w:rsidRDefault="002D7A2F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What to test and why, Scanning a gene for mutations, testing for a specified sequence change, some special tests, gene tracking, DNA profiling</w:t>
            </w:r>
          </w:p>
        </w:tc>
        <w:tc>
          <w:tcPr>
            <w:tcW w:w="1682" w:type="dxa"/>
          </w:tcPr>
          <w:p w:rsidR="00D04A49" w:rsidRPr="008F3AE8" w:rsidRDefault="002D7A2F" w:rsidP="005622D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18</w:t>
            </w: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  <w:shd w:val="clear" w:color="auto" w:fill="auto"/>
          </w:tcPr>
          <w:p w:rsidR="00D04A49" w:rsidRPr="008F3AE8" w:rsidRDefault="002D7A2F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37-39</w:t>
            </w:r>
          </w:p>
          <w:p w:rsidR="00D04A49" w:rsidRPr="008F3AE8" w:rsidRDefault="00D04A49" w:rsidP="00A527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:rsidR="00D04A49" w:rsidRPr="008F3AE8" w:rsidRDefault="002D7A2F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Understanding how genetic variants can provide prognostic value and criteria for personalized medicine</w:t>
            </w:r>
          </w:p>
        </w:tc>
        <w:tc>
          <w:tcPr>
            <w:tcW w:w="4533" w:type="dxa"/>
            <w:shd w:val="clear" w:color="auto" w:fill="auto"/>
          </w:tcPr>
          <w:p w:rsidR="00D04A49" w:rsidRPr="008F3AE8" w:rsidRDefault="002D7A2F" w:rsidP="00CC245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Pharmacogenetics and Pharmacogenomics, Personalized Medicine: prescribing the best drug and testing for susceptibility to complex diseases.</w:t>
            </w:r>
          </w:p>
        </w:tc>
        <w:tc>
          <w:tcPr>
            <w:tcW w:w="1682" w:type="dxa"/>
            <w:shd w:val="clear" w:color="auto" w:fill="auto"/>
          </w:tcPr>
          <w:p w:rsidR="00D04A49" w:rsidRPr="008F3AE8" w:rsidRDefault="002D7A2F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19</w:t>
            </w:r>
          </w:p>
          <w:p w:rsidR="00E164FA" w:rsidRPr="008F3AE8" w:rsidRDefault="00E164FA" w:rsidP="00E164F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T1: Chapter 17</w:t>
            </w:r>
          </w:p>
          <w:p w:rsidR="00D04A49" w:rsidRPr="008F3AE8" w:rsidRDefault="00D04A49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T2: Chapter 16</w:t>
            </w:r>
          </w:p>
        </w:tc>
      </w:tr>
      <w:tr w:rsidR="002E6EB3" w:rsidRPr="008F3AE8" w:rsidTr="00D54CF1">
        <w:trPr>
          <w:jc w:val="center"/>
        </w:trPr>
        <w:tc>
          <w:tcPr>
            <w:tcW w:w="1165" w:type="dxa"/>
            <w:shd w:val="clear" w:color="auto" w:fill="auto"/>
          </w:tcPr>
          <w:p w:rsidR="00D04A49" w:rsidRPr="008F3AE8" w:rsidRDefault="002D7A2F" w:rsidP="002D7A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40-42</w:t>
            </w:r>
          </w:p>
        </w:tc>
        <w:tc>
          <w:tcPr>
            <w:tcW w:w="3150" w:type="dxa"/>
            <w:shd w:val="clear" w:color="auto" w:fill="auto"/>
          </w:tcPr>
          <w:p w:rsidR="00D04A49" w:rsidRPr="008F3AE8" w:rsidRDefault="002D7A2F" w:rsidP="00EA2D1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Current status and future approaches to treat genetic disorders</w:t>
            </w:r>
          </w:p>
        </w:tc>
        <w:tc>
          <w:tcPr>
            <w:tcW w:w="4533" w:type="dxa"/>
            <w:shd w:val="clear" w:color="auto" w:fill="auto"/>
          </w:tcPr>
          <w:p w:rsidR="00D04A49" w:rsidRPr="008F3AE8" w:rsidRDefault="002D7A2F" w:rsidP="00EA2D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3AE8">
              <w:rPr>
                <w:rFonts w:ascii="Times New Roman" w:hAnsi="Times New Roman" w:cs="Times New Roman"/>
                <w:sz w:val="24"/>
                <w:szCs w:val="24"/>
              </w:rPr>
              <w:t>Treatment using drugs, recombinant proteins and vaccines, Cell-therapy, Gene therapy and gene transfection systems, RNA and oligonucleotide therapeutics, Gene therapy in practice.</w:t>
            </w:r>
          </w:p>
        </w:tc>
        <w:tc>
          <w:tcPr>
            <w:tcW w:w="1682" w:type="dxa"/>
            <w:shd w:val="clear" w:color="auto" w:fill="auto"/>
          </w:tcPr>
          <w:p w:rsidR="00D04A49" w:rsidRPr="008F3AE8" w:rsidRDefault="00D54CF1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Chapter 21</w:t>
            </w:r>
          </w:p>
          <w:p w:rsidR="00D04A49" w:rsidRPr="008F3AE8" w:rsidRDefault="00D04A49" w:rsidP="00475E5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4FA" w:rsidRDefault="00E164FA" w:rsidP="00E04FB9">
      <w:pPr>
        <w:rPr>
          <w:b/>
          <w:bCs/>
        </w:rPr>
      </w:pPr>
    </w:p>
    <w:p w:rsidR="00493579" w:rsidRPr="00B07DF5" w:rsidRDefault="00493579" w:rsidP="00E04FB9">
      <w:pPr>
        <w:rPr>
          <w:b/>
          <w:bCs/>
        </w:rPr>
      </w:pPr>
      <w:r w:rsidRPr="00B07DF5">
        <w:rPr>
          <w:b/>
        </w:rPr>
        <w:t xml:space="preserve">Laboratory </w:t>
      </w:r>
      <w:r w:rsidR="00655BDB" w:rsidRPr="00B07DF5">
        <w:rPr>
          <w:b/>
        </w:rPr>
        <w:t>plan</w:t>
      </w:r>
      <w:r w:rsidRPr="00B07DF5">
        <w:rPr>
          <w:b/>
        </w:rPr>
        <w:t>:</w:t>
      </w:r>
    </w:p>
    <w:tbl>
      <w:tblPr>
        <w:tblStyle w:val="TableGrid"/>
        <w:tblpPr w:leftFromText="180" w:rightFromText="180" w:vertAnchor="text" w:horzAnchor="margin" w:tblpXSpec="center" w:tblpY="95"/>
        <w:tblW w:w="10525" w:type="dxa"/>
        <w:tblLook w:val="04A0" w:firstRow="1" w:lastRow="0" w:firstColumn="1" w:lastColumn="0" w:noHBand="0" w:noVBand="1"/>
      </w:tblPr>
      <w:tblGrid>
        <w:gridCol w:w="895"/>
        <w:gridCol w:w="9630"/>
      </w:tblGrid>
      <w:tr w:rsidR="00B07DF5" w:rsidRPr="00B07DF5" w:rsidTr="00655BDB">
        <w:trPr>
          <w:trHeight w:val="350"/>
        </w:trPr>
        <w:tc>
          <w:tcPr>
            <w:tcW w:w="895" w:type="dxa"/>
          </w:tcPr>
          <w:p w:rsidR="00493579" w:rsidRPr="00B07DF5" w:rsidRDefault="00493579" w:rsidP="0049357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9630" w:type="dxa"/>
          </w:tcPr>
          <w:p w:rsidR="00493579" w:rsidRPr="00B07DF5" w:rsidRDefault="00493579" w:rsidP="0049357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experiments </w:t>
            </w:r>
          </w:p>
        </w:tc>
      </w:tr>
      <w:tr w:rsidR="00B07DF5" w:rsidRPr="00B07DF5" w:rsidTr="00655BDB">
        <w:trPr>
          <w:trHeight w:val="632"/>
        </w:trPr>
        <w:tc>
          <w:tcPr>
            <w:tcW w:w="895" w:type="dxa"/>
          </w:tcPr>
          <w:p w:rsidR="00493579" w:rsidRPr="00B07DF5" w:rsidRDefault="00493579" w:rsidP="0049357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93579" w:rsidRPr="00B07DF5" w:rsidRDefault="00493579" w:rsidP="0049357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</w:tcPr>
          <w:p w:rsidR="00493579" w:rsidRPr="00B07DF5" w:rsidRDefault="00493579" w:rsidP="004935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Genotyping of single nucleotide polymorphisms by amplification refractory mutation system (ARMS) PCR</w:t>
            </w:r>
          </w:p>
        </w:tc>
      </w:tr>
      <w:tr w:rsidR="00B07DF5" w:rsidRPr="00B07DF5" w:rsidTr="00655BDB">
        <w:trPr>
          <w:trHeight w:val="353"/>
        </w:trPr>
        <w:tc>
          <w:tcPr>
            <w:tcW w:w="895" w:type="dxa"/>
          </w:tcPr>
          <w:p w:rsidR="00493579" w:rsidRPr="00B07DF5" w:rsidRDefault="00493579" w:rsidP="0049357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0" w:type="dxa"/>
          </w:tcPr>
          <w:p w:rsidR="00493579" w:rsidRPr="00B07DF5" w:rsidRDefault="0094041E" w:rsidP="00564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Profiling </w:t>
            </w:r>
            <w:r w:rsidR="00493579" w:rsidRPr="00B07DF5">
              <w:rPr>
                <w:rFonts w:ascii="Times New Roman" w:hAnsi="Times New Roman" w:cs="Times New Roman"/>
                <w:sz w:val="24"/>
                <w:szCs w:val="24"/>
              </w:rPr>
              <w:t>of variable number tandem repeat</w:t>
            </w: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93579"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 (VNTR) </w:t>
            </w: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5645FD"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genetically distinct </w:t>
            </w: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individuals </w:t>
            </w:r>
            <w:r w:rsidR="00493579"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by PCR </w:t>
            </w:r>
          </w:p>
        </w:tc>
      </w:tr>
      <w:tr w:rsidR="00B07DF5" w:rsidRPr="00B07DF5" w:rsidTr="00655BDB">
        <w:trPr>
          <w:trHeight w:val="443"/>
        </w:trPr>
        <w:tc>
          <w:tcPr>
            <w:tcW w:w="895" w:type="dxa"/>
          </w:tcPr>
          <w:p w:rsidR="00493579" w:rsidRPr="00B07DF5" w:rsidRDefault="00493579" w:rsidP="0049357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0" w:type="dxa"/>
          </w:tcPr>
          <w:p w:rsidR="00493579" w:rsidRPr="00B07DF5" w:rsidRDefault="0094041E" w:rsidP="009404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To perform site-directed mutagenesis by inverse PCR</w:t>
            </w:r>
          </w:p>
        </w:tc>
      </w:tr>
      <w:tr w:rsidR="00B07DF5" w:rsidRPr="00B07DF5" w:rsidTr="00655BDB">
        <w:trPr>
          <w:trHeight w:val="443"/>
        </w:trPr>
        <w:tc>
          <w:tcPr>
            <w:tcW w:w="895" w:type="dxa"/>
          </w:tcPr>
          <w:p w:rsidR="00493579" w:rsidRPr="00B07DF5" w:rsidRDefault="00493579" w:rsidP="0049357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0" w:type="dxa"/>
          </w:tcPr>
          <w:p w:rsidR="00493579" w:rsidRPr="00B07DF5" w:rsidRDefault="0080149E" w:rsidP="0080149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>Analysis of DNA methylation by b</w:t>
            </w:r>
            <w:r w:rsidR="005645FD"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isulphite conversion </w:t>
            </w:r>
            <w:r w:rsidR="00655BDB" w:rsidRPr="00B07DF5">
              <w:rPr>
                <w:rFonts w:ascii="Times New Roman" w:hAnsi="Times New Roman" w:cs="Times New Roman"/>
                <w:sz w:val="24"/>
                <w:szCs w:val="24"/>
              </w:rPr>
              <w:t>followed by</w:t>
            </w:r>
            <w:r w:rsidRPr="00B07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45FD" w:rsidRPr="00B07DF5">
              <w:rPr>
                <w:rFonts w:ascii="Times New Roman" w:hAnsi="Times New Roman" w:cs="Times New Roman"/>
                <w:sz w:val="24"/>
                <w:szCs w:val="24"/>
              </w:rPr>
              <w:t>PCR</w:t>
            </w:r>
          </w:p>
        </w:tc>
      </w:tr>
    </w:tbl>
    <w:p w:rsidR="00493579" w:rsidRPr="00B07DF5" w:rsidRDefault="00493579" w:rsidP="00E04FB9">
      <w:pPr>
        <w:rPr>
          <w:b/>
          <w:bCs/>
        </w:rPr>
      </w:pPr>
    </w:p>
    <w:p w:rsidR="00E04FB9" w:rsidRPr="008F3AE8" w:rsidRDefault="00CC245C" w:rsidP="00E04FB9">
      <w:pPr>
        <w:rPr>
          <w:b/>
          <w:bCs/>
        </w:rPr>
      </w:pPr>
      <w:r>
        <w:rPr>
          <w:b/>
          <w:bCs/>
        </w:rPr>
        <w:t xml:space="preserve">7. </w:t>
      </w:r>
      <w:r w:rsidR="00E04FB9" w:rsidRPr="008F3AE8">
        <w:rPr>
          <w:b/>
          <w:bCs/>
        </w:rPr>
        <w:t>Evaluation scheme:</w:t>
      </w:r>
    </w:p>
    <w:p w:rsidR="00C54050" w:rsidRPr="00CC245C" w:rsidRDefault="00C54050" w:rsidP="002949AF">
      <w:pPr>
        <w:jc w:val="both"/>
        <w:rPr>
          <w:bCs/>
        </w:rPr>
      </w:pPr>
      <w:r w:rsidRPr="00CC245C">
        <w:rPr>
          <w:bCs/>
        </w:rPr>
        <w:t xml:space="preserve">Open book component would be </w:t>
      </w:r>
      <w:r w:rsidR="002949AF">
        <w:rPr>
          <w:bCs/>
        </w:rPr>
        <w:t>5</w:t>
      </w:r>
      <w:r w:rsidRPr="00CC245C">
        <w:rPr>
          <w:bCs/>
        </w:rPr>
        <w:t xml:space="preserve">0% and would be components of </w:t>
      </w:r>
      <w:r w:rsidR="002949AF">
        <w:rPr>
          <w:bCs/>
        </w:rPr>
        <w:t xml:space="preserve">laboratory evaluation, </w:t>
      </w:r>
      <w:r w:rsidR="00CC245C">
        <w:rPr>
          <w:bCs/>
        </w:rPr>
        <w:t xml:space="preserve">assignments </w:t>
      </w:r>
      <w:r w:rsidRPr="00CC245C">
        <w:rPr>
          <w:bCs/>
        </w:rPr>
        <w:t>and</w:t>
      </w:r>
      <w:r w:rsidR="00CC245C" w:rsidRPr="00CC245C">
        <w:rPr>
          <w:bCs/>
        </w:rPr>
        <w:t xml:space="preserve"> </w:t>
      </w:r>
      <w:r w:rsidR="00CC245C">
        <w:rPr>
          <w:bCs/>
        </w:rPr>
        <w:t>c</w:t>
      </w:r>
      <w:r w:rsidRPr="00CC245C">
        <w:rPr>
          <w:bCs/>
        </w:rPr>
        <w:t>omprehensive exams.</w:t>
      </w:r>
    </w:p>
    <w:p w:rsidR="00C54050" w:rsidRPr="008F3AE8" w:rsidRDefault="00C54050" w:rsidP="00E04FB9">
      <w:pPr>
        <w:rPr>
          <w:b/>
          <w:bCs/>
        </w:rPr>
      </w:pPr>
    </w:p>
    <w:tbl>
      <w:tblPr>
        <w:tblW w:w="10530" w:type="dxa"/>
        <w:tblInd w:w="-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6"/>
        <w:gridCol w:w="1234"/>
        <w:gridCol w:w="924"/>
        <w:gridCol w:w="786"/>
        <w:gridCol w:w="1800"/>
        <w:gridCol w:w="1170"/>
        <w:gridCol w:w="1710"/>
      </w:tblGrid>
      <w:tr w:rsidR="00BD4CBF" w:rsidRPr="008F3AE8" w:rsidTr="00E02CD7">
        <w:tc>
          <w:tcPr>
            <w:tcW w:w="2906" w:type="dxa"/>
          </w:tcPr>
          <w:p w:rsidR="00BD4CBF" w:rsidRPr="008F3AE8" w:rsidRDefault="00BD4CBF" w:rsidP="009148DC">
            <w:pPr>
              <w:jc w:val="center"/>
              <w:rPr>
                <w:b/>
              </w:rPr>
            </w:pPr>
            <w:r w:rsidRPr="008F3AE8">
              <w:rPr>
                <w:b/>
              </w:rPr>
              <w:t>Component</w:t>
            </w:r>
          </w:p>
        </w:tc>
        <w:tc>
          <w:tcPr>
            <w:tcW w:w="1234" w:type="dxa"/>
          </w:tcPr>
          <w:p w:rsidR="00BD4CBF" w:rsidRPr="008F3AE8" w:rsidRDefault="00BD4CBF" w:rsidP="009148DC">
            <w:pPr>
              <w:jc w:val="center"/>
              <w:rPr>
                <w:b/>
              </w:rPr>
            </w:pPr>
            <w:r w:rsidRPr="008F3AE8">
              <w:rPr>
                <w:b/>
              </w:rPr>
              <w:t>Duration</w:t>
            </w:r>
          </w:p>
        </w:tc>
        <w:tc>
          <w:tcPr>
            <w:tcW w:w="924" w:type="dxa"/>
          </w:tcPr>
          <w:p w:rsidR="00BD4CBF" w:rsidRPr="008F3AE8" w:rsidRDefault="00BD4CBF" w:rsidP="009148DC">
            <w:pPr>
              <w:jc w:val="center"/>
              <w:rPr>
                <w:b/>
              </w:rPr>
            </w:pPr>
            <w:r w:rsidRPr="008F3AE8">
              <w:rPr>
                <w:b/>
              </w:rPr>
              <w:t>Marks</w:t>
            </w:r>
          </w:p>
        </w:tc>
        <w:tc>
          <w:tcPr>
            <w:tcW w:w="786" w:type="dxa"/>
          </w:tcPr>
          <w:p w:rsidR="00BD4CBF" w:rsidRPr="008F3AE8" w:rsidRDefault="00BD4CBF" w:rsidP="009148DC">
            <w:pPr>
              <w:jc w:val="center"/>
              <w:rPr>
                <w:b/>
              </w:rPr>
            </w:pPr>
            <w:r w:rsidRPr="008F3AE8">
              <w:rPr>
                <w:b/>
              </w:rPr>
              <w:t>%</w:t>
            </w:r>
          </w:p>
        </w:tc>
        <w:tc>
          <w:tcPr>
            <w:tcW w:w="1800" w:type="dxa"/>
          </w:tcPr>
          <w:p w:rsidR="00BD4CBF" w:rsidRPr="008F3AE8" w:rsidRDefault="00BD4CBF" w:rsidP="009148DC">
            <w:pPr>
              <w:jc w:val="center"/>
              <w:rPr>
                <w:b/>
              </w:rPr>
            </w:pPr>
            <w:r w:rsidRPr="008F3AE8">
              <w:rPr>
                <w:b/>
              </w:rPr>
              <w:t>Date and Time</w:t>
            </w:r>
          </w:p>
        </w:tc>
        <w:tc>
          <w:tcPr>
            <w:tcW w:w="1170" w:type="dxa"/>
          </w:tcPr>
          <w:p w:rsidR="00BD4CBF" w:rsidRPr="008F3AE8" w:rsidRDefault="00BD4CBF" w:rsidP="009148DC">
            <w:pPr>
              <w:jc w:val="center"/>
              <w:rPr>
                <w:b/>
              </w:rPr>
            </w:pPr>
            <w:r w:rsidRPr="008F3AE8">
              <w:rPr>
                <w:b/>
              </w:rPr>
              <w:t>Venue</w:t>
            </w:r>
          </w:p>
        </w:tc>
        <w:tc>
          <w:tcPr>
            <w:tcW w:w="1710" w:type="dxa"/>
          </w:tcPr>
          <w:p w:rsidR="00BD4CBF" w:rsidRPr="008F3AE8" w:rsidRDefault="00BD4CBF" w:rsidP="009148DC">
            <w:pPr>
              <w:jc w:val="center"/>
              <w:rPr>
                <w:b/>
              </w:rPr>
            </w:pPr>
            <w:r w:rsidRPr="008F3AE8">
              <w:rPr>
                <w:b/>
              </w:rPr>
              <w:t>Remarks</w:t>
            </w:r>
          </w:p>
        </w:tc>
      </w:tr>
      <w:tr w:rsidR="00BD4CBF" w:rsidRPr="00221231" w:rsidTr="00E02CD7">
        <w:tc>
          <w:tcPr>
            <w:tcW w:w="2906" w:type="dxa"/>
          </w:tcPr>
          <w:p w:rsidR="00BD4CBF" w:rsidRPr="00221231" w:rsidRDefault="00BD4CBF" w:rsidP="009148DC">
            <w:pPr>
              <w:jc w:val="center"/>
            </w:pPr>
            <w:r w:rsidRPr="00221231">
              <w:t>Mid-sem</w:t>
            </w:r>
            <w:r w:rsidR="008F3AE8" w:rsidRPr="00221231">
              <w:t>ester exam</w:t>
            </w:r>
          </w:p>
        </w:tc>
        <w:tc>
          <w:tcPr>
            <w:tcW w:w="1234" w:type="dxa"/>
          </w:tcPr>
          <w:p w:rsidR="00BD4CBF" w:rsidRPr="00221231" w:rsidRDefault="00BD4CBF" w:rsidP="009148DC">
            <w:pPr>
              <w:jc w:val="center"/>
            </w:pPr>
            <w:r w:rsidRPr="00221231">
              <w:t>90 min</w:t>
            </w:r>
          </w:p>
        </w:tc>
        <w:tc>
          <w:tcPr>
            <w:tcW w:w="924" w:type="dxa"/>
          </w:tcPr>
          <w:p w:rsidR="00BD4CBF" w:rsidRPr="00221231" w:rsidRDefault="00BD4CBF" w:rsidP="009148DC">
            <w:pPr>
              <w:jc w:val="center"/>
            </w:pPr>
            <w:r w:rsidRPr="00221231">
              <w:t>40</w:t>
            </w:r>
          </w:p>
        </w:tc>
        <w:tc>
          <w:tcPr>
            <w:tcW w:w="786" w:type="dxa"/>
          </w:tcPr>
          <w:p w:rsidR="00BD4CBF" w:rsidRPr="00221231" w:rsidRDefault="00BD4CBF" w:rsidP="00BD4CBF">
            <w:pPr>
              <w:jc w:val="center"/>
            </w:pPr>
            <w:r w:rsidRPr="00221231">
              <w:t>20%</w:t>
            </w:r>
          </w:p>
        </w:tc>
        <w:tc>
          <w:tcPr>
            <w:tcW w:w="1800" w:type="dxa"/>
          </w:tcPr>
          <w:p w:rsidR="00E02CD7" w:rsidRDefault="00E02CD7" w:rsidP="00E02CD7">
            <w:pPr>
              <w:jc w:val="center"/>
            </w:pPr>
            <w:r>
              <w:t>04.10.19</w:t>
            </w:r>
          </w:p>
          <w:p w:rsidR="00BD4CBF" w:rsidRPr="00221231" w:rsidRDefault="00E02CD7" w:rsidP="00E02CD7">
            <w:pPr>
              <w:jc w:val="center"/>
            </w:pPr>
            <w:r>
              <w:t>(3.30-5.00PM)</w:t>
            </w:r>
          </w:p>
        </w:tc>
        <w:tc>
          <w:tcPr>
            <w:tcW w:w="1170" w:type="dxa"/>
          </w:tcPr>
          <w:p w:rsidR="00BD4CBF" w:rsidRPr="00221231" w:rsidRDefault="00BD4CBF" w:rsidP="009148DC">
            <w:pPr>
              <w:jc w:val="center"/>
            </w:pPr>
          </w:p>
        </w:tc>
        <w:tc>
          <w:tcPr>
            <w:tcW w:w="1710" w:type="dxa"/>
          </w:tcPr>
          <w:p w:rsidR="00BD4CBF" w:rsidRPr="00221231" w:rsidRDefault="00BD4CBF" w:rsidP="009148DC">
            <w:pPr>
              <w:pStyle w:val="Heading1"/>
              <w:rPr>
                <w:b w:val="0"/>
              </w:rPr>
            </w:pPr>
            <w:r w:rsidRPr="00221231">
              <w:rPr>
                <w:b w:val="0"/>
              </w:rPr>
              <w:t>Closed book</w:t>
            </w:r>
          </w:p>
        </w:tc>
      </w:tr>
      <w:tr w:rsidR="00221231" w:rsidRPr="00221231" w:rsidTr="00E02CD7">
        <w:tc>
          <w:tcPr>
            <w:tcW w:w="2906" w:type="dxa"/>
          </w:tcPr>
          <w:p w:rsidR="00221231" w:rsidRPr="00221231" w:rsidRDefault="00221231" w:rsidP="009148DC">
            <w:pPr>
              <w:jc w:val="center"/>
            </w:pPr>
            <w:r>
              <w:t>Laboratory Evaluation</w:t>
            </w:r>
          </w:p>
        </w:tc>
        <w:tc>
          <w:tcPr>
            <w:tcW w:w="1234" w:type="dxa"/>
          </w:tcPr>
          <w:p w:rsidR="00221231" w:rsidRPr="00221231" w:rsidRDefault="00221231" w:rsidP="009148DC">
            <w:pPr>
              <w:jc w:val="center"/>
            </w:pPr>
            <w:r>
              <w:t>-</w:t>
            </w:r>
          </w:p>
        </w:tc>
        <w:tc>
          <w:tcPr>
            <w:tcW w:w="924" w:type="dxa"/>
          </w:tcPr>
          <w:p w:rsidR="00221231" w:rsidRPr="00221231" w:rsidRDefault="00221231" w:rsidP="009148DC">
            <w:pPr>
              <w:jc w:val="center"/>
            </w:pPr>
            <w:r>
              <w:t>60</w:t>
            </w:r>
          </w:p>
        </w:tc>
        <w:tc>
          <w:tcPr>
            <w:tcW w:w="786" w:type="dxa"/>
          </w:tcPr>
          <w:p w:rsidR="00221231" w:rsidRPr="00221231" w:rsidRDefault="00221231" w:rsidP="00BD4CBF">
            <w:pPr>
              <w:jc w:val="center"/>
            </w:pPr>
            <w:r>
              <w:t>30%</w:t>
            </w:r>
          </w:p>
        </w:tc>
        <w:tc>
          <w:tcPr>
            <w:tcW w:w="1800" w:type="dxa"/>
          </w:tcPr>
          <w:p w:rsidR="00221231" w:rsidRPr="00221231" w:rsidRDefault="00E02CD7" w:rsidP="00E02CD7">
            <w:pPr>
              <w:jc w:val="center"/>
            </w:pPr>
            <w:r>
              <w:t>TBA</w:t>
            </w:r>
          </w:p>
        </w:tc>
        <w:tc>
          <w:tcPr>
            <w:tcW w:w="1170" w:type="dxa"/>
          </w:tcPr>
          <w:p w:rsidR="00221231" w:rsidRPr="00221231" w:rsidRDefault="00221231" w:rsidP="009148DC">
            <w:pPr>
              <w:jc w:val="center"/>
            </w:pPr>
          </w:p>
        </w:tc>
        <w:tc>
          <w:tcPr>
            <w:tcW w:w="1710" w:type="dxa"/>
          </w:tcPr>
          <w:p w:rsidR="00221231" w:rsidRPr="00221231" w:rsidRDefault="00221231" w:rsidP="009148DC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Open Book</w:t>
            </w:r>
          </w:p>
        </w:tc>
      </w:tr>
      <w:tr w:rsidR="00BD4CBF" w:rsidRPr="00221231" w:rsidTr="00E02CD7">
        <w:tc>
          <w:tcPr>
            <w:tcW w:w="2906" w:type="dxa"/>
          </w:tcPr>
          <w:p w:rsidR="00BD4CBF" w:rsidRPr="00221231" w:rsidRDefault="00BD4CBF" w:rsidP="009148DC">
            <w:pPr>
              <w:jc w:val="center"/>
            </w:pPr>
            <w:r w:rsidRPr="00221231">
              <w:t>Assignments</w:t>
            </w:r>
          </w:p>
        </w:tc>
        <w:tc>
          <w:tcPr>
            <w:tcW w:w="1234" w:type="dxa"/>
          </w:tcPr>
          <w:p w:rsidR="00BD4CBF" w:rsidRPr="00221231" w:rsidRDefault="00BD4CBF" w:rsidP="009148DC">
            <w:pPr>
              <w:jc w:val="center"/>
            </w:pPr>
          </w:p>
        </w:tc>
        <w:tc>
          <w:tcPr>
            <w:tcW w:w="924" w:type="dxa"/>
          </w:tcPr>
          <w:p w:rsidR="00BD4CBF" w:rsidRPr="00221231" w:rsidRDefault="00BD4CBF" w:rsidP="009148DC">
            <w:pPr>
              <w:jc w:val="center"/>
            </w:pPr>
            <w:r w:rsidRPr="00221231">
              <w:t>40</w:t>
            </w:r>
          </w:p>
        </w:tc>
        <w:tc>
          <w:tcPr>
            <w:tcW w:w="786" w:type="dxa"/>
          </w:tcPr>
          <w:p w:rsidR="00BD4CBF" w:rsidRPr="00221231" w:rsidRDefault="00BD4CBF" w:rsidP="00BD4CBF">
            <w:pPr>
              <w:jc w:val="center"/>
            </w:pPr>
            <w:r w:rsidRPr="00221231">
              <w:t>20%</w:t>
            </w:r>
          </w:p>
        </w:tc>
        <w:tc>
          <w:tcPr>
            <w:tcW w:w="1800" w:type="dxa"/>
          </w:tcPr>
          <w:p w:rsidR="00BD4CBF" w:rsidRPr="00221231" w:rsidRDefault="00E02CD7" w:rsidP="00E02CD7">
            <w:pPr>
              <w:jc w:val="center"/>
            </w:pPr>
            <w:r>
              <w:t>TBA</w:t>
            </w:r>
          </w:p>
        </w:tc>
        <w:tc>
          <w:tcPr>
            <w:tcW w:w="1170" w:type="dxa"/>
          </w:tcPr>
          <w:p w:rsidR="00BD4CBF" w:rsidRPr="00221231" w:rsidRDefault="00BD4CBF" w:rsidP="009148DC">
            <w:pPr>
              <w:jc w:val="center"/>
            </w:pPr>
          </w:p>
        </w:tc>
        <w:tc>
          <w:tcPr>
            <w:tcW w:w="1710" w:type="dxa"/>
          </w:tcPr>
          <w:p w:rsidR="00BD4CBF" w:rsidRPr="00221231" w:rsidRDefault="00BD4CBF" w:rsidP="009148DC">
            <w:pPr>
              <w:jc w:val="center"/>
            </w:pPr>
            <w:r w:rsidRPr="00221231">
              <w:t>Open Book</w:t>
            </w:r>
          </w:p>
        </w:tc>
      </w:tr>
      <w:tr w:rsidR="00BD4CBF" w:rsidRPr="00221231" w:rsidTr="00E02CD7">
        <w:tc>
          <w:tcPr>
            <w:tcW w:w="2906" w:type="dxa"/>
          </w:tcPr>
          <w:p w:rsidR="00BD4CBF" w:rsidRPr="00221231" w:rsidRDefault="00BD4CBF" w:rsidP="009148DC">
            <w:pPr>
              <w:jc w:val="center"/>
              <w:rPr>
                <w:lang w:val="en-IN"/>
              </w:rPr>
            </w:pPr>
            <w:r w:rsidRPr="00221231">
              <w:t>Comprehensive exam</w:t>
            </w:r>
          </w:p>
        </w:tc>
        <w:tc>
          <w:tcPr>
            <w:tcW w:w="1234" w:type="dxa"/>
          </w:tcPr>
          <w:p w:rsidR="00BD4CBF" w:rsidRPr="00221231" w:rsidRDefault="003827E8" w:rsidP="009148DC">
            <w:pPr>
              <w:jc w:val="center"/>
            </w:pPr>
            <w:r w:rsidRPr="00221231">
              <w:t>18</w:t>
            </w:r>
            <w:r w:rsidR="00BD4CBF" w:rsidRPr="00221231">
              <w:t>0 min</w:t>
            </w:r>
          </w:p>
        </w:tc>
        <w:tc>
          <w:tcPr>
            <w:tcW w:w="924" w:type="dxa"/>
          </w:tcPr>
          <w:p w:rsidR="00BD4CBF" w:rsidRPr="00221231" w:rsidRDefault="00122D4E" w:rsidP="009148DC">
            <w:pPr>
              <w:jc w:val="center"/>
            </w:pPr>
            <w:r w:rsidRPr="00221231">
              <w:t>60</w:t>
            </w:r>
          </w:p>
        </w:tc>
        <w:tc>
          <w:tcPr>
            <w:tcW w:w="786" w:type="dxa"/>
          </w:tcPr>
          <w:p w:rsidR="00BD4CBF" w:rsidRPr="00221231" w:rsidRDefault="00122D4E" w:rsidP="00BD4CBF">
            <w:pPr>
              <w:jc w:val="center"/>
            </w:pPr>
            <w:r w:rsidRPr="00221231">
              <w:t>30%</w:t>
            </w:r>
          </w:p>
        </w:tc>
        <w:tc>
          <w:tcPr>
            <w:tcW w:w="1800" w:type="dxa"/>
          </w:tcPr>
          <w:p w:rsidR="00BD4CBF" w:rsidRPr="00221231" w:rsidRDefault="00E02CD7" w:rsidP="00E02CD7">
            <w:pPr>
              <w:jc w:val="center"/>
            </w:pPr>
            <w:r>
              <w:t>12.12.19 (AN)</w:t>
            </w:r>
            <w:bookmarkStart w:id="0" w:name="_GoBack"/>
            <w:bookmarkEnd w:id="0"/>
          </w:p>
        </w:tc>
        <w:tc>
          <w:tcPr>
            <w:tcW w:w="1170" w:type="dxa"/>
          </w:tcPr>
          <w:p w:rsidR="00BD4CBF" w:rsidRPr="00221231" w:rsidRDefault="00BD4CBF" w:rsidP="009148DC">
            <w:pPr>
              <w:jc w:val="center"/>
            </w:pPr>
          </w:p>
        </w:tc>
        <w:tc>
          <w:tcPr>
            <w:tcW w:w="1710" w:type="dxa"/>
          </w:tcPr>
          <w:p w:rsidR="00BD4CBF" w:rsidRPr="00221231" w:rsidRDefault="00BD4CBF" w:rsidP="009148DC">
            <w:pPr>
              <w:jc w:val="center"/>
            </w:pPr>
            <w:r w:rsidRPr="00221231">
              <w:t xml:space="preserve">Closed book </w:t>
            </w:r>
          </w:p>
        </w:tc>
      </w:tr>
    </w:tbl>
    <w:p w:rsidR="00E04FB9" w:rsidRPr="00221231" w:rsidRDefault="00E04FB9" w:rsidP="00E04FB9"/>
    <w:p w:rsidR="00166DD7" w:rsidRPr="008F3AE8" w:rsidRDefault="00CC245C" w:rsidP="00CC245C">
      <w:pPr>
        <w:spacing w:line="360" w:lineRule="auto"/>
        <w:jc w:val="both"/>
      </w:pPr>
      <w:r>
        <w:rPr>
          <w:b/>
          <w:bCs/>
        </w:rPr>
        <w:t xml:space="preserve">8. </w:t>
      </w:r>
      <w:r w:rsidR="00E04FB9" w:rsidRPr="008F3AE8">
        <w:rPr>
          <w:b/>
          <w:bCs/>
        </w:rPr>
        <w:t>Chamber consultation hour</w:t>
      </w:r>
      <w:r w:rsidR="00E04FB9" w:rsidRPr="008F3AE8">
        <w:t>:</w:t>
      </w:r>
      <w:r w:rsidR="00B457CD" w:rsidRPr="008F3AE8">
        <w:t xml:space="preserve"> To be announced</w:t>
      </w:r>
    </w:p>
    <w:p w:rsidR="00E04FB9" w:rsidRPr="008F3AE8" w:rsidRDefault="00CC245C" w:rsidP="00CC245C">
      <w:pPr>
        <w:spacing w:line="360" w:lineRule="auto"/>
        <w:jc w:val="both"/>
      </w:pPr>
      <w:r>
        <w:rPr>
          <w:b/>
          <w:bCs/>
        </w:rPr>
        <w:t xml:space="preserve">9. </w:t>
      </w:r>
      <w:r w:rsidR="00E04FB9" w:rsidRPr="008F3AE8">
        <w:rPr>
          <w:b/>
          <w:bCs/>
        </w:rPr>
        <w:t>Notices:</w:t>
      </w:r>
      <w:r w:rsidR="00E04FB9" w:rsidRPr="008F3AE8">
        <w:t xml:space="preserve"> All notices will be displayed on the Biological Sciences Group notice board.</w:t>
      </w:r>
    </w:p>
    <w:p w:rsidR="00082E58" w:rsidRDefault="00CC245C" w:rsidP="00AA0646">
      <w:pPr>
        <w:jc w:val="both"/>
      </w:pPr>
      <w:r>
        <w:rPr>
          <w:b/>
        </w:rPr>
        <w:t xml:space="preserve">10. </w:t>
      </w:r>
      <w:r w:rsidR="00082E58" w:rsidRPr="008F3AE8">
        <w:rPr>
          <w:b/>
        </w:rPr>
        <w:t xml:space="preserve">Grading policy: </w:t>
      </w:r>
      <w:r w:rsidR="00082E58" w:rsidRPr="008F3AE8">
        <w:t xml:space="preserve">Students missing one or more component of evaluation completely will be </w:t>
      </w:r>
      <w:r w:rsidR="00A5270C" w:rsidRPr="008F3AE8">
        <w:t>given</w:t>
      </w:r>
      <w:r w:rsidR="00082E58" w:rsidRPr="008F3AE8">
        <w:t xml:space="preserve"> an NC.</w:t>
      </w:r>
    </w:p>
    <w:p w:rsidR="00E04FB9" w:rsidRPr="008F3AE8" w:rsidRDefault="00CC245C" w:rsidP="00AA0646">
      <w:pPr>
        <w:jc w:val="both"/>
      </w:pPr>
      <w:r>
        <w:rPr>
          <w:b/>
          <w:bCs/>
        </w:rPr>
        <w:t xml:space="preserve">11. </w:t>
      </w:r>
      <w:r w:rsidR="00E04FB9" w:rsidRPr="008F3AE8">
        <w:rPr>
          <w:b/>
          <w:bCs/>
        </w:rPr>
        <w:t xml:space="preserve">Make-up policy: </w:t>
      </w:r>
      <w:r w:rsidR="00AA0646" w:rsidRPr="00AA0646">
        <w:rPr>
          <w:bCs/>
        </w:rPr>
        <w:t>As per the clause 4.07 in the Academic regulations booklet.</w:t>
      </w:r>
      <w:r w:rsidR="00AA0646">
        <w:rPr>
          <w:bCs/>
        </w:rPr>
        <w:t xml:space="preserve"> </w:t>
      </w:r>
      <w:r w:rsidR="00E04FB9" w:rsidRPr="008F3AE8">
        <w:t xml:space="preserve">Make-up will be granted only if candidate is </w:t>
      </w:r>
      <w:r w:rsidR="00BE23A2" w:rsidRPr="008F3AE8">
        <w:t xml:space="preserve">sick and </w:t>
      </w:r>
      <w:r w:rsidR="00E04FB9" w:rsidRPr="008F3AE8">
        <w:t>hospitalized. No make-up will be granted in quizzes</w:t>
      </w:r>
      <w:r w:rsidR="00BE23A2" w:rsidRPr="008F3AE8">
        <w:t xml:space="preserve"> under any circumstances</w:t>
      </w:r>
      <w:r w:rsidR="00E04FB9" w:rsidRPr="008F3AE8">
        <w:t xml:space="preserve">. </w:t>
      </w:r>
    </w:p>
    <w:p w:rsidR="00E04FB9" w:rsidRPr="008F3AE8" w:rsidRDefault="00CC245C" w:rsidP="00CC245C">
      <w:pPr>
        <w:spacing w:before="120"/>
        <w:jc w:val="both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12. </w:t>
      </w:r>
      <w:r w:rsidR="00122D4E" w:rsidRPr="008F3AE8">
        <w:rPr>
          <w:b/>
          <w:bCs/>
          <w:shd w:val="clear" w:color="auto" w:fill="FFFFFF"/>
        </w:rPr>
        <w:t>Academic Honesty</w:t>
      </w:r>
      <w:r w:rsidR="008F3AE8" w:rsidRPr="008F3AE8">
        <w:rPr>
          <w:b/>
          <w:bCs/>
          <w:shd w:val="clear" w:color="auto" w:fill="FFFFFF"/>
        </w:rPr>
        <w:t xml:space="preserve"> </w:t>
      </w:r>
      <w:r w:rsidR="00122D4E" w:rsidRPr="008F3AE8">
        <w:rPr>
          <w:b/>
          <w:bCs/>
          <w:shd w:val="clear" w:color="auto" w:fill="FFFFFF"/>
        </w:rPr>
        <w:t>and Integrity Policy</w:t>
      </w:r>
      <w:r w:rsidR="00122D4E" w:rsidRPr="008F3AE8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8F3AE8" w:rsidRPr="008F3AE8" w:rsidRDefault="008F3AE8" w:rsidP="00CC245C">
      <w:pPr>
        <w:spacing w:before="120"/>
        <w:jc w:val="both"/>
      </w:pPr>
    </w:p>
    <w:p w:rsidR="00E04FB9" w:rsidRPr="008F3AE8" w:rsidRDefault="00E04FB9" w:rsidP="00E04FB9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:rsidR="00E04FB9" w:rsidRPr="00CC245C" w:rsidRDefault="00774C08" w:rsidP="00CC245C">
      <w:pPr>
        <w:pStyle w:val="Heading4"/>
        <w:jc w:val="right"/>
        <w:rPr>
          <w:rFonts w:ascii="Times New Roman" w:hAnsi="Times New Roman" w:cs="Times New Roman"/>
          <w:i w:val="0"/>
          <w:caps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aps/>
          <w:color w:val="auto"/>
          <w:sz w:val="24"/>
          <w:szCs w:val="24"/>
        </w:rPr>
        <w:t>Instructor-in-</w:t>
      </w:r>
      <w:r w:rsidR="00E04FB9" w:rsidRPr="00CC245C">
        <w:rPr>
          <w:rFonts w:ascii="Times New Roman" w:hAnsi="Times New Roman" w:cs="Times New Roman"/>
          <w:i w:val="0"/>
          <w:caps/>
          <w:color w:val="auto"/>
          <w:sz w:val="24"/>
          <w:szCs w:val="24"/>
        </w:rPr>
        <w:t>charge</w:t>
      </w:r>
    </w:p>
    <w:p w:rsidR="00E04FB9" w:rsidRPr="00CC245C" w:rsidRDefault="00CC245C" w:rsidP="00CC245C">
      <w:pPr>
        <w:jc w:val="center"/>
        <w:rPr>
          <w:b/>
          <w:caps/>
        </w:rPr>
      </w:pPr>
      <w:r>
        <w:rPr>
          <w:b/>
          <w:caps/>
        </w:rPr>
        <w:t xml:space="preserve">                                                                                                      </w:t>
      </w:r>
      <w:r w:rsidR="00E04FB9" w:rsidRPr="00CC245C">
        <w:rPr>
          <w:b/>
          <w:caps/>
        </w:rPr>
        <w:t>BIO G612</w:t>
      </w:r>
    </w:p>
    <w:p w:rsidR="00475E57" w:rsidRPr="00CC245C" w:rsidRDefault="00475E57" w:rsidP="00CC245C">
      <w:pPr>
        <w:pStyle w:val="NoSpacing"/>
        <w:ind w:left="720"/>
        <w:jc w:val="right"/>
        <w:rPr>
          <w:rFonts w:ascii="Times New Roman" w:hAnsi="Times New Roman" w:cs="Times New Roman"/>
          <w:caps/>
          <w:sz w:val="24"/>
          <w:szCs w:val="24"/>
        </w:rPr>
      </w:pPr>
    </w:p>
    <w:sectPr w:rsidR="00475E57" w:rsidRPr="00CC245C" w:rsidSect="00655BD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A70"/>
    <w:multiLevelType w:val="hybridMultilevel"/>
    <w:tmpl w:val="32CC2BB2"/>
    <w:lvl w:ilvl="0" w:tplc="D494ABD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5F94306"/>
    <w:multiLevelType w:val="hybridMultilevel"/>
    <w:tmpl w:val="9626BE9A"/>
    <w:lvl w:ilvl="0" w:tplc="A4E6B3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77B4"/>
    <w:multiLevelType w:val="hybridMultilevel"/>
    <w:tmpl w:val="2BDE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57F45"/>
    <w:multiLevelType w:val="hybridMultilevel"/>
    <w:tmpl w:val="6B425E64"/>
    <w:lvl w:ilvl="0" w:tplc="9E464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63448B"/>
    <w:multiLevelType w:val="hybridMultilevel"/>
    <w:tmpl w:val="D090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BA"/>
    <w:rsid w:val="00012C0C"/>
    <w:rsid w:val="0001356A"/>
    <w:rsid w:val="00082E58"/>
    <w:rsid w:val="000A4FA3"/>
    <w:rsid w:val="000D2211"/>
    <w:rsid w:val="000F35F8"/>
    <w:rsid w:val="001000C4"/>
    <w:rsid w:val="00122D4E"/>
    <w:rsid w:val="0016589D"/>
    <w:rsid w:val="00166DD7"/>
    <w:rsid w:val="001D01AD"/>
    <w:rsid w:val="001E4C40"/>
    <w:rsid w:val="001F090E"/>
    <w:rsid w:val="001F7726"/>
    <w:rsid w:val="00221231"/>
    <w:rsid w:val="0022539F"/>
    <w:rsid w:val="002949AF"/>
    <w:rsid w:val="002A1BF4"/>
    <w:rsid w:val="002C3117"/>
    <w:rsid w:val="002D7A2F"/>
    <w:rsid w:val="002E6B43"/>
    <w:rsid w:val="002E6BF2"/>
    <w:rsid w:val="002E6EB3"/>
    <w:rsid w:val="00306515"/>
    <w:rsid w:val="003827E8"/>
    <w:rsid w:val="003A312C"/>
    <w:rsid w:val="003B1264"/>
    <w:rsid w:val="003C342E"/>
    <w:rsid w:val="0043478C"/>
    <w:rsid w:val="00436076"/>
    <w:rsid w:val="00460FD5"/>
    <w:rsid w:val="00470119"/>
    <w:rsid w:val="0047360E"/>
    <w:rsid w:val="00475E57"/>
    <w:rsid w:val="00480BA1"/>
    <w:rsid w:val="004875AC"/>
    <w:rsid w:val="00493579"/>
    <w:rsid w:val="004F0FE3"/>
    <w:rsid w:val="00513408"/>
    <w:rsid w:val="00515704"/>
    <w:rsid w:val="005261E9"/>
    <w:rsid w:val="005333F8"/>
    <w:rsid w:val="005622D1"/>
    <w:rsid w:val="005645FD"/>
    <w:rsid w:val="005704C9"/>
    <w:rsid w:val="00590624"/>
    <w:rsid w:val="005956EF"/>
    <w:rsid w:val="00595B6E"/>
    <w:rsid w:val="005A3499"/>
    <w:rsid w:val="005D7C60"/>
    <w:rsid w:val="005F5216"/>
    <w:rsid w:val="005F53C1"/>
    <w:rsid w:val="005F7263"/>
    <w:rsid w:val="00600455"/>
    <w:rsid w:val="00645542"/>
    <w:rsid w:val="00655BDB"/>
    <w:rsid w:val="006D1B26"/>
    <w:rsid w:val="00707F67"/>
    <w:rsid w:val="00774C08"/>
    <w:rsid w:val="007B50D8"/>
    <w:rsid w:val="007C0F44"/>
    <w:rsid w:val="0080149E"/>
    <w:rsid w:val="0089729E"/>
    <w:rsid w:val="008B260A"/>
    <w:rsid w:val="008C4DD3"/>
    <w:rsid w:val="008F3AE8"/>
    <w:rsid w:val="008F522A"/>
    <w:rsid w:val="009136F9"/>
    <w:rsid w:val="009148DC"/>
    <w:rsid w:val="00916671"/>
    <w:rsid w:val="0094041E"/>
    <w:rsid w:val="00942D14"/>
    <w:rsid w:val="00960B73"/>
    <w:rsid w:val="009C6868"/>
    <w:rsid w:val="009D3625"/>
    <w:rsid w:val="009F6FF3"/>
    <w:rsid w:val="00A30F40"/>
    <w:rsid w:val="00A5270C"/>
    <w:rsid w:val="00A65C9E"/>
    <w:rsid w:val="00A7264C"/>
    <w:rsid w:val="00A95519"/>
    <w:rsid w:val="00AA0646"/>
    <w:rsid w:val="00AA3397"/>
    <w:rsid w:val="00AE3817"/>
    <w:rsid w:val="00B069D0"/>
    <w:rsid w:val="00B07DF5"/>
    <w:rsid w:val="00B43459"/>
    <w:rsid w:val="00B457CD"/>
    <w:rsid w:val="00B50380"/>
    <w:rsid w:val="00B57CFB"/>
    <w:rsid w:val="00B64D7F"/>
    <w:rsid w:val="00B940F3"/>
    <w:rsid w:val="00BA3748"/>
    <w:rsid w:val="00BD4CBF"/>
    <w:rsid w:val="00BE23A2"/>
    <w:rsid w:val="00C01B37"/>
    <w:rsid w:val="00C54050"/>
    <w:rsid w:val="00C648DC"/>
    <w:rsid w:val="00CC245C"/>
    <w:rsid w:val="00CD1EBA"/>
    <w:rsid w:val="00CD6FA7"/>
    <w:rsid w:val="00CF0248"/>
    <w:rsid w:val="00D04A49"/>
    <w:rsid w:val="00D54CF1"/>
    <w:rsid w:val="00DA31C0"/>
    <w:rsid w:val="00DD1C93"/>
    <w:rsid w:val="00DE192B"/>
    <w:rsid w:val="00E02CD7"/>
    <w:rsid w:val="00E04FB9"/>
    <w:rsid w:val="00E074DC"/>
    <w:rsid w:val="00E164FA"/>
    <w:rsid w:val="00E34367"/>
    <w:rsid w:val="00E53F28"/>
    <w:rsid w:val="00EA2D16"/>
    <w:rsid w:val="00F11064"/>
    <w:rsid w:val="00F11835"/>
    <w:rsid w:val="00F33115"/>
    <w:rsid w:val="00F455E7"/>
    <w:rsid w:val="00FB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8B99"/>
  <w15:docId w15:val="{C53C5F72-BE0F-4B79-B857-27F95C79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940F3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45542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60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E04FB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E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B940F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6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7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rsid w:val="00E04F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4FB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DD7"/>
    <w:pPr>
      <w:ind w:left="720"/>
      <w:contextualSpacing/>
    </w:pPr>
  </w:style>
  <w:style w:type="paragraph" w:styleId="BodyText">
    <w:name w:val="Body Text"/>
    <w:basedOn w:val="Normal"/>
    <w:link w:val="BodyTextChar"/>
    <w:rsid w:val="00595B6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95B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4554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Windows User</cp:lastModifiedBy>
  <cp:revision>6</cp:revision>
  <cp:lastPrinted>2019-07-22T09:15:00Z</cp:lastPrinted>
  <dcterms:created xsi:type="dcterms:W3CDTF">2019-07-22T09:15:00Z</dcterms:created>
  <dcterms:modified xsi:type="dcterms:W3CDTF">2019-07-23T04:58:00Z</dcterms:modified>
</cp:coreProperties>
</file>