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856125"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F928DC" w:rsidP="00F928DC">
      <w:pPr>
        <w:suppressAutoHyphens/>
        <w:ind w:left="2880"/>
        <w:rPr>
          <w:rFonts w:ascii="Trebuchet MS" w:hAnsi="Trebuchet MS"/>
          <w:b/>
          <w:bCs/>
          <w:i/>
          <w:iCs/>
          <w:sz w:val="28"/>
          <w:szCs w:val="28"/>
        </w:rPr>
      </w:pPr>
      <w:r>
        <w:rPr>
          <w:rFonts w:ascii="Trebuchet MS" w:hAnsi="Trebuchet MS"/>
          <w:b/>
          <w:bCs/>
          <w:i/>
          <w:iCs/>
          <w:sz w:val="28"/>
          <w:szCs w:val="28"/>
        </w:rPr>
        <w:t xml:space="preserve">     </w:t>
      </w:r>
      <w:r w:rsidR="005340D0">
        <w:rPr>
          <w:rFonts w:ascii="Trebuchet MS" w:hAnsi="Trebuchet MS"/>
          <w:b/>
          <w:bCs/>
          <w:i/>
          <w:iCs/>
          <w:sz w:val="28"/>
          <w:szCs w:val="28"/>
        </w:rPr>
        <w:t>First</w:t>
      </w:r>
      <w:r w:rsidR="007C3DFF">
        <w:rPr>
          <w:rFonts w:ascii="Trebuchet MS" w:hAnsi="Trebuchet MS"/>
          <w:b/>
          <w:bCs/>
          <w:i/>
          <w:iCs/>
          <w:sz w:val="28"/>
          <w:szCs w:val="28"/>
        </w:rPr>
        <w:t xml:space="preserve"> Semester 2019-20</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Pr="007B14C0" w:rsidRDefault="007543E4" w:rsidP="00562598">
      <w:pPr>
        <w:jc w:val="right"/>
      </w:pPr>
      <w:r>
        <w:tab/>
      </w:r>
      <w:r>
        <w:tab/>
      </w:r>
      <w:r>
        <w:tab/>
      </w:r>
      <w:r>
        <w:tab/>
      </w:r>
      <w:r>
        <w:tab/>
      </w:r>
      <w:r>
        <w:tab/>
      </w:r>
      <w:r>
        <w:tab/>
      </w:r>
      <w:r>
        <w:tab/>
      </w:r>
      <w:r>
        <w:tab/>
      </w:r>
      <w:r>
        <w:tab/>
        <w:t xml:space="preserve">    </w:t>
      </w:r>
      <w:r w:rsidR="007B14C0" w:rsidRPr="007B14C0">
        <w:t>01</w:t>
      </w:r>
      <w:r w:rsidR="007C3DFF" w:rsidRPr="007B14C0">
        <w:rPr>
          <w:rFonts w:ascii="Trebuchet MS" w:hAnsi="Trebuchet MS"/>
          <w:spacing w:val="-2"/>
          <w:sz w:val="22"/>
          <w:szCs w:val="22"/>
        </w:rPr>
        <w:t>/0</w:t>
      </w:r>
      <w:r w:rsidR="007B14C0" w:rsidRPr="007B14C0">
        <w:rPr>
          <w:rFonts w:ascii="Trebuchet MS" w:hAnsi="Trebuchet MS"/>
          <w:spacing w:val="-2"/>
          <w:sz w:val="22"/>
          <w:szCs w:val="22"/>
        </w:rPr>
        <w:t>8/</w:t>
      </w:r>
      <w:r w:rsidR="00D65972" w:rsidRPr="007B14C0">
        <w:rPr>
          <w:rFonts w:ascii="Trebuchet MS" w:hAnsi="Trebuchet MS"/>
          <w:spacing w:val="-2"/>
          <w:sz w:val="22"/>
          <w:szCs w:val="22"/>
        </w:rPr>
        <w:t>2019</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FIN F311/</w:t>
      </w:r>
      <w:r w:rsidR="001368F6" w:rsidRPr="00376F8A">
        <w:rPr>
          <w:rFonts w:ascii="Trebuchet MS" w:hAnsi="Trebuchet MS" w:cs="Arial"/>
          <w:b/>
          <w:sz w:val="22"/>
          <w:szCs w:val="22"/>
        </w:rPr>
        <w:t xml:space="preserve"> ECON F354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i w:val="0"/>
          <w:iCs w:val="0"/>
        </w:rPr>
      </w:pPr>
      <w:r>
        <w:t>Instructor-in-Charge</w:t>
      </w:r>
      <w:r>
        <w:rPr>
          <w:i w:val="0"/>
          <w:iCs w:val="0"/>
        </w:rPr>
        <w:tab/>
      </w:r>
      <w:r>
        <w:rPr>
          <w:i w:val="0"/>
          <w:iCs w:val="0"/>
        </w:rPr>
        <w:tab/>
        <w:t xml:space="preserve">: </w:t>
      </w:r>
      <w:r w:rsidR="001368F6" w:rsidRPr="0096734A">
        <w:rPr>
          <w:rFonts w:ascii="Trebuchet MS" w:hAnsi="Trebuchet MS"/>
          <w:sz w:val="22"/>
          <w:szCs w:val="22"/>
        </w:rPr>
        <w:t xml:space="preserve">Thota Nagaraju </w:t>
      </w:r>
      <w:r w:rsidR="001368F6" w:rsidRPr="0096734A">
        <w:rPr>
          <w:rFonts w:ascii="Trebuchet MS" w:hAnsi="Trebuchet MS"/>
          <w:sz w:val="21"/>
          <w:szCs w:val="21"/>
        </w:rPr>
        <w:t>(</w:t>
      </w:r>
      <w:hyperlink r:id="rId8" w:history="1">
        <w:r w:rsidR="001368F6" w:rsidRPr="0096734A">
          <w:rPr>
            <w:rStyle w:val="Hyperlink"/>
            <w:rFonts w:ascii="Trebuchet MS" w:hAnsi="Trebuchet MS"/>
            <w:sz w:val="21"/>
            <w:szCs w:val="21"/>
          </w:rPr>
          <w:t>nagaraju@hyderabad.bits-pilani.ac.in</w:t>
        </w:r>
      </w:hyperlink>
      <w:r w:rsidR="001368F6" w:rsidRPr="00376F8A">
        <w:rPr>
          <w:rFonts w:ascii="Trebuchet MS" w:hAnsi="Trebuchet MS"/>
          <w:b/>
          <w:sz w:val="21"/>
          <w:szCs w:val="21"/>
        </w:rPr>
        <w:t>)</w:t>
      </w:r>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9" w:history="1">
        <w:r w:rsidRPr="00376F8A">
          <w:rPr>
            <w:rStyle w:val="Hyperlink"/>
            <w:rFonts w:ascii="Trebuchet MS" w:hAnsi="Trebuchet MS"/>
            <w:sz w:val="20"/>
            <w:szCs w:val="20"/>
            <w:u w:val="none"/>
            <w:shd w:val="clear" w:color="auto" w:fill="FFFFFF"/>
          </w:rPr>
          <w:t>Basu</w:t>
        </w:r>
      </w:hyperlink>
      <w:r w:rsidRPr="00376F8A">
        <w:rPr>
          <w:rFonts w:ascii="Trebuchet MS" w:hAnsi="Trebuchet MS"/>
          <w:sz w:val="20"/>
          <w:szCs w:val="20"/>
        </w:rPr>
        <w:t xml:space="preserve"> Sankarshan,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r w:rsidRPr="001368F6">
        <w:rPr>
          <w:sz w:val="22"/>
          <w:szCs w:val="22"/>
        </w:rPr>
        <w:t>R1. Understanding Futures Markets by Robert W. Kolb and James A. Overdahl, 6th edition, Blackwell.</w:t>
      </w:r>
      <w:r w:rsidRPr="001368F6">
        <w:rPr>
          <w:sz w:val="22"/>
          <w:szCs w:val="22"/>
        </w:rPr>
        <w:tab/>
      </w:r>
    </w:p>
    <w:p w:rsidR="001368F6" w:rsidRPr="001368F6" w:rsidRDefault="001368F6" w:rsidP="001368F6">
      <w:pPr>
        <w:spacing w:line="276" w:lineRule="auto"/>
        <w:ind w:left="720"/>
        <w:jc w:val="both"/>
        <w:rPr>
          <w:sz w:val="22"/>
          <w:szCs w:val="22"/>
        </w:rPr>
      </w:pPr>
      <w:r w:rsidRPr="001368F6">
        <w:rPr>
          <w:sz w:val="22"/>
          <w:szCs w:val="22"/>
        </w:rPr>
        <w:t>R2. International Financial Management by Cheol Eun, and Bruce G. Resnick, 6th edition, McGraw-Hill.</w:t>
      </w:r>
    </w:p>
    <w:p w:rsidR="001368F6" w:rsidRPr="001368F6" w:rsidRDefault="001368F6" w:rsidP="001368F6">
      <w:pPr>
        <w:spacing w:line="276" w:lineRule="auto"/>
        <w:ind w:left="720"/>
        <w:jc w:val="both"/>
        <w:rPr>
          <w:sz w:val="22"/>
          <w:szCs w:val="22"/>
        </w:rPr>
      </w:pPr>
      <w:r w:rsidRPr="001368F6">
        <w:rPr>
          <w:sz w:val="22"/>
          <w:szCs w:val="22"/>
        </w:rPr>
        <w:t>R3. Derivatives, by Rangarajan Sundaram, Sanjiv Das, McGraw Hill, 1st edition</w:t>
      </w:r>
    </w:p>
    <w:p w:rsidR="001368F6" w:rsidRPr="001368F6" w:rsidRDefault="001368F6" w:rsidP="001368F6">
      <w:pPr>
        <w:spacing w:line="276" w:lineRule="auto"/>
        <w:ind w:left="720"/>
        <w:jc w:val="both"/>
        <w:rPr>
          <w:sz w:val="22"/>
          <w:szCs w:val="22"/>
        </w:rPr>
      </w:pPr>
      <w:r w:rsidRPr="001368F6">
        <w:rPr>
          <w:sz w:val="22"/>
          <w:szCs w:val="22"/>
        </w:rPr>
        <w:t>R4.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073EF8" w:rsidRDefault="00073EF8"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Risk at Freddie Mac by J. Duffie, Erin Yurday</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Overview of Credit Derivatives by Sanjiv Das and Stephen Lynagh</w:t>
      </w:r>
    </w:p>
    <w:p w:rsidR="00A44798" w:rsidRDefault="00A44798">
      <w:pPr>
        <w:jc w:val="both"/>
        <w:rPr>
          <w:b/>
          <w:bCs/>
        </w:rPr>
      </w:pPr>
    </w:p>
    <w:p w:rsidR="00AD25E1" w:rsidRDefault="00AD25E1">
      <w:pPr>
        <w:jc w:val="both"/>
        <w:rPr>
          <w:b/>
          <w:bCs/>
        </w:rPr>
      </w:pPr>
      <w:r>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A568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Ch- 1 &amp; 2. </w:t>
            </w:r>
          </w:p>
          <w:p w:rsidR="0037644C" w:rsidRPr="00376F8A" w:rsidRDefault="00B70022" w:rsidP="0037644C">
            <w:pPr>
              <w:spacing w:line="360" w:lineRule="auto"/>
              <w:jc w:val="both"/>
              <w:rPr>
                <w:rFonts w:ascii="Trebuchet MS" w:hAnsi="Trebuchet MS"/>
                <w:bCs/>
                <w:sz w:val="20"/>
                <w:szCs w:val="20"/>
              </w:rPr>
            </w:pPr>
            <w:hyperlink r:id="rId10"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B70022"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https://www.mcxindia.com/About-us</w:t>
              </w:r>
            </w:hyperlink>
          </w:p>
          <w:p w:rsidR="0037644C" w:rsidRPr="00376F8A" w:rsidRDefault="00B70022"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lastRenderedPageBreak/>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t xml:space="preserve"> </w:t>
            </w:r>
            <w:r w:rsidRPr="00376F8A">
              <w:rPr>
                <w:rFonts w:ascii="Trebuchet MS" w:hAnsi="Trebuchet MS"/>
                <w:b/>
                <w:sz w:val="20"/>
                <w:szCs w:val="20"/>
              </w:rPr>
              <w:t>“Risk at Freddie Mac by J. Duffie, Erin Yurday”.</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Ch-4 and </w:t>
            </w:r>
            <w:r w:rsidRPr="00376F8A">
              <w:rPr>
                <w:rFonts w:ascii="Trebuchet MS" w:hAnsi="Trebuchet MS"/>
                <w:sz w:val="20"/>
                <w:szCs w:val="20"/>
              </w:rPr>
              <w:t>Ch 5 and 6 of R2</w:t>
            </w:r>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B70022" w:rsidP="00174571">
            <w:pPr>
              <w:jc w:val="both"/>
              <w:rPr>
                <w:rFonts w:ascii="Trebuchet MS" w:hAnsi="Trebuchet MS"/>
                <w:color w:val="000000"/>
                <w:sz w:val="18"/>
                <w:szCs w:val="18"/>
              </w:rPr>
            </w:pPr>
            <w:hyperlink r:id="rId13"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4"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r>
              <w:rPr>
                <w:rFonts w:ascii="Trebuchet MS" w:hAnsi="Trebuchet MS"/>
                <w:b/>
                <w:color w:val="000000"/>
                <w:sz w:val="22"/>
                <w:szCs w:val="22"/>
                <w:highlight w:val="lightGray"/>
              </w:rPr>
              <w:lastRenderedPageBreak/>
              <w:t>Module-3:</w:t>
            </w:r>
            <w:r w:rsidRPr="009734E4">
              <w:rPr>
                <w:rFonts w:ascii="Trebuchet MS" w:hAnsi="Trebuchet MS"/>
                <w:b/>
                <w:bCs/>
                <w:color w:val="000000"/>
                <w:sz w:val="22"/>
                <w:szCs w:val="22"/>
                <w:highlight w:val="lightGray"/>
              </w:rPr>
              <w:t>Determination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Forward Markets and Contracts; Pricing and Valuation of Equity; Fixed-Income and Interest Rate Forward Contracts; Evaluating credit risk in a forward contracts.</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Text Book, ch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B70022" w:rsidP="007625AE">
            <w:pPr>
              <w:widowControl w:val="0"/>
              <w:autoSpaceDE w:val="0"/>
              <w:autoSpaceDN w:val="0"/>
              <w:adjustRightInd w:val="0"/>
              <w:spacing w:line="276" w:lineRule="auto"/>
              <w:jc w:val="both"/>
              <w:rPr>
                <w:rFonts w:ascii="Trebuchet MS" w:hAnsi="Trebuchet MS"/>
                <w:sz w:val="20"/>
                <w:szCs w:val="20"/>
              </w:rPr>
            </w:pPr>
            <w:hyperlink r:id="rId15"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2012 Fuel Hedging at 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t>Text Book, ch 3,6, and Ch 5, 7 and 9 of R1</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w:t>
            </w:r>
            <w:r w:rsidRPr="0078127A">
              <w:rPr>
                <w:rFonts w:ascii="Trebuchet MS" w:hAnsi="Trebuchet MS"/>
                <w:b/>
                <w:bCs/>
                <w:color w:val="000000"/>
                <w:sz w:val="18"/>
                <w:szCs w:val="18"/>
                <w:highlight w:val="lightGray"/>
              </w:rPr>
              <w:lastRenderedPageBreak/>
              <w:t>Strategies, Binomial Tress, Wiener Process &amp; Ito’s Lemma and BSM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lastRenderedPageBreak/>
              <w:t xml:space="preserve">The student should be able to: </w:t>
            </w:r>
            <w:r w:rsidRPr="00376F8A">
              <w:rPr>
                <w:rFonts w:ascii="Trebuchet MS" w:hAnsi="Trebuchet MS"/>
                <w:sz w:val="20"/>
                <w:szCs w:val="20"/>
              </w:rPr>
              <w:t xml:space="preserve">Understand the distinction between pricing and valuation of swaps; Understand interest rate swaps to a series of off-market forward rate agreements (FRAs) and a plain vanilla swap to a combination of </w:t>
            </w:r>
            <w:r w:rsidRPr="00376F8A">
              <w:rPr>
                <w:rFonts w:ascii="Trebuchet MS" w:hAnsi="Trebuchet MS"/>
                <w:sz w:val="20"/>
                <w:szCs w:val="20"/>
              </w:rPr>
              <w:lastRenderedPageBreak/>
              <w:t>an interest rate call and a put option; Calculate and interpret 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swaptions, and calculate the payoffs and cash flo</w:t>
            </w:r>
            <w:r>
              <w:rPr>
                <w:rFonts w:ascii="Trebuchet MS" w:hAnsi="Trebuchet MS"/>
                <w:sz w:val="20"/>
                <w:szCs w:val="20"/>
              </w:rPr>
              <w:t xml:space="preserve">ws of an interest rate swaption;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lastRenderedPageBreak/>
              <w:t xml:space="preserve">Currency Swaps;, Interest Rate Swaps; Forward Rate Agreement;  Applications of swaps, Cancellation, Pricing of Swaps – Interest Rate &amp; Currency Swap;  Swap variant; Basics of call and put options, </w:t>
            </w:r>
            <w:r w:rsidRPr="00376F8A">
              <w:rPr>
                <w:rFonts w:ascii="Trebuchet MS" w:hAnsi="Trebuchet MS"/>
                <w:sz w:val="20"/>
                <w:szCs w:val="20"/>
              </w:rPr>
              <w:lastRenderedPageBreak/>
              <w:t>Their payoffs, Intrinsic value and time value, 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lastRenderedPageBreak/>
              <w:t xml:space="preserve">Text Book, ch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B70022" w:rsidP="0078127A">
            <w:pPr>
              <w:widowControl w:val="0"/>
              <w:autoSpaceDE w:val="0"/>
              <w:autoSpaceDN w:val="0"/>
              <w:adjustRightInd w:val="0"/>
              <w:spacing w:line="276" w:lineRule="auto"/>
              <w:jc w:val="both"/>
              <w:rPr>
                <w:rFonts w:ascii="Trebuchet MS" w:hAnsi="Trebuchet MS"/>
                <w:sz w:val="20"/>
                <w:szCs w:val="20"/>
              </w:rPr>
            </w:pPr>
            <w:hyperlink r:id="rId16" w:history="1">
              <w:r w:rsidR="0078127A" w:rsidRPr="00376F8A">
                <w:rPr>
                  <w:rStyle w:val="Hyperlink"/>
                  <w:rFonts w:ascii="Trebuchet MS" w:hAnsi="Trebuchet MS"/>
                  <w:sz w:val="20"/>
                  <w:szCs w:val="20"/>
                </w:rPr>
                <w:t>https://www.nseindia.com/products/content/derivatives/equities/fo.htm</w:t>
              </w:r>
            </w:hyperlink>
          </w:p>
          <w:p w:rsidR="0078127A" w:rsidRPr="00376F8A" w:rsidRDefault="00B70022"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http://www.cmegroup.co</w:t>
              </w:r>
              <w:r w:rsidR="0078127A" w:rsidRPr="00376F8A">
                <w:rPr>
                  <w:rStyle w:val="Hyperlink"/>
                  <w:rFonts w:ascii="Trebuchet MS" w:hAnsi="Trebuchet MS"/>
                  <w:sz w:val="20"/>
                  <w:szCs w:val="20"/>
                </w:rPr>
                <w:lastRenderedPageBreak/>
                <w:t>m/company/</w:t>
              </w:r>
            </w:hyperlink>
          </w:p>
          <w:p w:rsidR="0078127A" w:rsidRPr="00376F8A" w:rsidRDefault="00B70022"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http://www.jpx.co.jp/english/derivatives/index.html</w:t>
              </w:r>
            </w:hyperlink>
          </w:p>
          <w:p w:rsidR="0078127A" w:rsidRPr="00BA568D" w:rsidRDefault="0078127A">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lastRenderedPageBreak/>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Pr>
                <w:rFonts w:ascii="Trebuchet MS" w:hAnsi="Trebuchet MS"/>
                <w:b/>
                <w:bCs/>
                <w:sz w:val="20"/>
                <w:szCs w:val="20"/>
              </w:rPr>
              <w:t>8</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“Overview of Credit Derivatives by Sanjiv Das and Stephen Lynagh”</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t xml:space="preserve">Text Book, ch 19 &amp; 20. </w:t>
            </w:r>
            <w:r w:rsidRPr="00376F8A">
              <w:rPr>
                <w:rFonts w:ascii="Trebuchet MS" w:hAnsi="Trebuchet MS"/>
                <w:bCs/>
                <w:sz w:val="20"/>
                <w:szCs w:val="20"/>
              </w:rPr>
              <w:tab/>
            </w:r>
          </w:p>
        </w:tc>
      </w:tr>
    </w:tbl>
    <w:p w:rsidR="00EB7E1B" w:rsidRDefault="00EB7E1B">
      <w:pPr>
        <w:jc w:val="both"/>
      </w:pPr>
    </w:p>
    <w:p w:rsidR="00B01DBD" w:rsidRDefault="00B01DBD">
      <w:pPr>
        <w:jc w:val="both"/>
        <w:rPr>
          <w:b/>
          <w:bCs/>
        </w:rPr>
      </w:pPr>
    </w:p>
    <w:p w:rsidR="00B01DBD" w:rsidRDefault="00B01DBD">
      <w:pPr>
        <w:jc w:val="both"/>
        <w:rPr>
          <w:b/>
          <w:bCs/>
        </w:rPr>
      </w:pPr>
    </w:p>
    <w:p w:rsidR="00B01DBD" w:rsidRDefault="00B01DBD">
      <w:pPr>
        <w:jc w:val="both"/>
        <w:rPr>
          <w:b/>
          <w:bCs/>
        </w:rPr>
      </w:pPr>
    </w:p>
    <w:p w:rsidR="00AD25E1" w:rsidRDefault="00AD25E1">
      <w:pPr>
        <w:jc w:val="both"/>
        <w:rPr>
          <w:b/>
          <w:bCs/>
        </w:rPr>
      </w:pPr>
      <w:r>
        <w:rPr>
          <w:b/>
          <w:bCs/>
        </w:rPr>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77"/>
        <w:gridCol w:w="1325"/>
        <w:gridCol w:w="1773"/>
        <w:gridCol w:w="2160"/>
        <w:gridCol w:w="1969"/>
      </w:tblGrid>
      <w:tr w:rsidR="00DE3D84" w:rsidTr="00073EF8">
        <w:trPr>
          <w:trHeight w:val="209"/>
          <w:jc w:val="center"/>
        </w:trPr>
        <w:tc>
          <w:tcPr>
            <w:tcW w:w="247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3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77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96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F4647" w:rsidTr="00073EF8">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Quizzes</w:t>
            </w:r>
            <w:r>
              <w:rPr>
                <w:rFonts w:ascii="Trebuchet MS" w:hAnsi="Trebuchet MS"/>
                <w:color w:val="222222"/>
                <w:sz w:val="20"/>
                <w:szCs w:val="20"/>
              </w:rPr>
              <w:t>*</w:t>
            </w:r>
            <w:r w:rsidRPr="00376F8A">
              <w:rPr>
                <w:rFonts w:ascii="Trebuchet MS" w:hAnsi="Trebuchet MS"/>
                <w:color w:val="222222"/>
                <w:sz w:val="20"/>
                <w:szCs w:val="20"/>
              </w:rPr>
              <w:t> </w:t>
            </w:r>
            <w:r>
              <w:rPr>
                <w:rFonts w:ascii="Trebuchet MS" w:hAnsi="Trebuchet MS"/>
                <w:color w:val="222222"/>
                <w:sz w:val="20"/>
                <w:szCs w:val="20"/>
              </w:rPr>
              <w:t>(1 &amp; 2)</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10</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160" w:type="dxa"/>
            <w:tcBorders>
              <w:top w:val="single" w:sz="4" w:space="0" w:color="auto"/>
              <w:left w:val="single" w:sz="4" w:space="0" w:color="auto"/>
              <w:bottom w:val="single" w:sz="4" w:space="0" w:color="auto"/>
              <w:right w:val="single" w:sz="4" w:space="0" w:color="auto"/>
            </w:tcBorders>
            <w:vAlign w:val="center"/>
          </w:tcPr>
          <w:p w:rsidR="00AF4647" w:rsidRDefault="00073EF8" w:rsidP="00AF4647">
            <w:pPr>
              <w:jc w:val="center"/>
            </w:pPr>
            <w:r>
              <w:rPr>
                <w:rFonts w:ascii="Trebuchet MS" w:hAnsi="Trebuchet MS"/>
                <w:color w:val="000000"/>
                <w:sz w:val="18"/>
                <w:szCs w:val="18"/>
              </w:rPr>
              <w:t>September 11</w:t>
            </w:r>
            <w:r w:rsidRPr="00CC7DFB">
              <w:rPr>
                <w:rFonts w:ascii="Trebuchet MS" w:hAnsi="Trebuchet MS"/>
                <w:color w:val="000000"/>
                <w:sz w:val="18"/>
                <w:szCs w:val="18"/>
                <w:vertAlign w:val="superscript"/>
              </w:rPr>
              <w:t>th</w:t>
            </w:r>
            <w:r>
              <w:rPr>
                <w:rFonts w:ascii="Trebuchet MS" w:hAnsi="Trebuchet MS"/>
                <w:color w:val="000000"/>
                <w:sz w:val="18"/>
                <w:szCs w:val="18"/>
              </w:rPr>
              <w:t xml:space="preserve"> and 15</w:t>
            </w:r>
            <w:r w:rsidRPr="00CC7DFB">
              <w:rPr>
                <w:rFonts w:ascii="Trebuchet MS" w:hAnsi="Trebuchet MS"/>
                <w:color w:val="000000"/>
                <w:sz w:val="18"/>
                <w:szCs w:val="18"/>
                <w:vertAlign w:val="superscript"/>
              </w:rPr>
              <w:t>th</w:t>
            </w:r>
            <w:r>
              <w:rPr>
                <w:rFonts w:ascii="Trebuchet MS" w:hAnsi="Trebuchet MS"/>
                <w:color w:val="000000"/>
                <w:sz w:val="18"/>
                <w:szCs w:val="18"/>
              </w:rPr>
              <w:t xml:space="preserve"> November, 2019 </w:t>
            </w:r>
          </w:p>
        </w:tc>
        <w:tc>
          <w:tcPr>
            <w:tcW w:w="196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CB</w:t>
            </w:r>
          </w:p>
        </w:tc>
      </w:tr>
      <w:tr w:rsidR="00AF4647" w:rsidTr="00073EF8">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Assignment (Group</w:t>
            </w:r>
            <w:r w:rsidRPr="00376F8A">
              <w:rPr>
                <w:rFonts w:ascii="Trebuchet MS" w:hAnsi="Trebuchet MS"/>
                <w:color w:val="222222"/>
                <w:sz w:val="20"/>
                <w:szCs w:val="20"/>
              </w:rPr>
              <w:t>)</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10%</w:t>
            </w:r>
          </w:p>
        </w:tc>
        <w:tc>
          <w:tcPr>
            <w:tcW w:w="2160" w:type="dxa"/>
            <w:tcBorders>
              <w:top w:val="single" w:sz="4" w:space="0" w:color="auto"/>
              <w:left w:val="single" w:sz="4" w:space="0" w:color="auto"/>
              <w:bottom w:val="single" w:sz="4" w:space="0" w:color="auto"/>
              <w:right w:val="single" w:sz="4" w:space="0" w:color="auto"/>
            </w:tcBorders>
            <w:vAlign w:val="center"/>
          </w:tcPr>
          <w:p w:rsidR="00AF4647" w:rsidRDefault="00073EF8" w:rsidP="00AF4647">
            <w:pPr>
              <w:jc w:val="center"/>
            </w:pPr>
            <w:r>
              <w:rPr>
                <w:rFonts w:ascii="Trebuchet MS" w:hAnsi="Trebuchet MS"/>
                <w:color w:val="000000"/>
                <w:sz w:val="18"/>
                <w:szCs w:val="18"/>
              </w:rPr>
              <w:t>11</w:t>
            </w:r>
            <w:r w:rsidRPr="00CC7DFB">
              <w:rPr>
                <w:rFonts w:ascii="Trebuchet MS" w:hAnsi="Trebuchet MS"/>
                <w:color w:val="000000"/>
                <w:sz w:val="18"/>
                <w:szCs w:val="18"/>
                <w:vertAlign w:val="superscript"/>
              </w:rPr>
              <w:t>th</w:t>
            </w:r>
            <w:r>
              <w:rPr>
                <w:rFonts w:ascii="Trebuchet MS" w:hAnsi="Trebuchet MS"/>
                <w:color w:val="000000"/>
                <w:sz w:val="18"/>
                <w:szCs w:val="18"/>
              </w:rPr>
              <w:t xml:space="preserve"> November, 2019; 5:00 PM</w:t>
            </w:r>
          </w:p>
        </w:tc>
        <w:tc>
          <w:tcPr>
            <w:tcW w:w="196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OB</w:t>
            </w:r>
          </w:p>
        </w:tc>
      </w:tr>
      <w:tr w:rsidR="00AF4647" w:rsidTr="00073EF8">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 xml:space="preserve">Simulation </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2 Hours</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 xml:space="preserve">10% </w:t>
            </w:r>
          </w:p>
        </w:tc>
        <w:tc>
          <w:tcPr>
            <w:tcW w:w="2160" w:type="dxa"/>
            <w:tcBorders>
              <w:top w:val="single" w:sz="4" w:space="0" w:color="auto"/>
              <w:left w:val="single" w:sz="4" w:space="0" w:color="auto"/>
              <w:bottom w:val="single" w:sz="4" w:space="0" w:color="auto"/>
              <w:right w:val="single" w:sz="4" w:space="0" w:color="auto"/>
            </w:tcBorders>
            <w:vAlign w:val="center"/>
          </w:tcPr>
          <w:p w:rsidR="00AF4647" w:rsidRDefault="00073EF8" w:rsidP="00AF4647">
            <w:pPr>
              <w:jc w:val="center"/>
            </w:pPr>
            <w:r>
              <w:rPr>
                <w:rFonts w:ascii="Trebuchet MS" w:hAnsi="Trebuchet MS"/>
                <w:color w:val="000000"/>
                <w:sz w:val="18"/>
                <w:szCs w:val="18"/>
              </w:rPr>
              <w:t>Second Week of Nov-</w:t>
            </w:r>
            <w:r w:rsidR="00AF4647">
              <w:rPr>
                <w:rFonts w:ascii="Trebuchet MS" w:hAnsi="Trebuchet MS"/>
                <w:color w:val="000000"/>
                <w:sz w:val="18"/>
                <w:szCs w:val="18"/>
              </w:rPr>
              <w:t>2019</w:t>
            </w:r>
          </w:p>
        </w:tc>
        <w:tc>
          <w:tcPr>
            <w:tcW w:w="196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OB</w:t>
            </w:r>
            <w:bookmarkStart w:id="0" w:name="_GoBack"/>
            <w:bookmarkEnd w:id="0"/>
          </w:p>
        </w:tc>
      </w:tr>
      <w:tr w:rsidR="00AF4647" w:rsidTr="00073EF8">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000000"/>
                <w:sz w:val="20"/>
                <w:szCs w:val="20"/>
              </w:rPr>
            </w:pPr>
            <w:r>
              <w:rPr>
                <w:rFonts w:ascii="Trebuchet MS" w:hAnsi="Trebuchet MS"/>
                <w:color w:val="000000"/>
                <w:sz w:val="20"/>
                <w:szCs w:val="20"/>
              </w:rPr>
              <w:t>Mid-Sem</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1</w:t>
            </w:r>
            <w:r>
              <w:rPr>
                <w:rFonts w:ascii="Trebuchet MS" w:hAnsi="Trebuchet MS"/>
                <w:color w:val="000000"/>
                <w:sz w:val="20"/>
                <w:szCs w:val="20"/>
              </w:rPr>
              <w:t>.5</w:t>
            </w:r>
            <w:r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Pr>
                <w:rFonts w:ascii="Trebuchet MS" w:hAnsi="Trebuchet MS"/>
                <w:color w:val="222222"/>
                <w:sz w:val="20"/>
                <w:szCs w:val="20"/>
              </w:rPr>
              <w:t>30</w:t>
            </w:r>
            <w:r w:rsidR="00073EF8">
              <w:rPr>
                <w:rFonts w:ascii="Trebuchet MS" w:hAnsi="Trebuchet MS"/>
                <w:color w:val="222222"/>
                <w:sz w:val="20"/>
                <w:szCs w:val="20"/>
              </w:rPr>
              <w:t xml:space="preserve">% </w:t>
            </w:r>
            <w:r w:rsidRPr="00376F8A">
              <w:rPr>
                <w:rFonts w:ascii="Trebuchet MS" w:hAnsi="Trebuchet MS"/>
                <w:color w:val="222222"/>
                <w:sz w:val="20"/>
                <w:szCs w:val="20"/>
              </w:rPr>
              <w:t>(=100 points)</w:t>
            </w:r>
          </w:p>
        </w:tc>
        <w:tc>
          <w:tcPr>
            <w:tcW w:w="2160" w:type="dxa"/>
            <w:tcBorders>
              <w:top w:val="single" w:sz="4" w:space="0" w:color="auto"/>
              <w:left w:val="single" w:sz="4" w:space="0" w:color="auto"/>
              <w:bottom w:val="single" w:sz="4" w:space="0" w:color="auto"/>
              <w:right w:val="single" w:sz="4" w:space="0" w:color="auto"/>
            </w:tcBorders>
            <w:vAlign w:val="center"/>
          </w:tcPr>
          <w:p w:rsidR="00AF4647" w:rsidRPr="007B14C0" w:rsidRDefault="007B14C0" w:rsidP="00AF4647">
            <w:pPr>
              <w:jc w:val="center"/>
              <w:rPr>
                <w:sz w:val="20"/>
              </w:rPr>
            </w:pPr>
            <w:r w:rsidRPr="007B14C0">
              <w:rPr>
                <w:sz w:val="20"/>
              </w:rPr>
              <w:t>5/10, 11.00 -- 12.30 PM</w:t>
            </w:r>
            <w:r w:rsidR="00AF4647" w:rsidRPr="007B14C0">
              <w:rPr>
                <w:sz w:val="20"/>
              </w:rPr>
              <w:t xml:space="preserve"> </w:t>
            </w:r>
          </w:p>
        </w:tc>
        <w:tc>
          <w:tcPr>
            <w:tcW w:w="1969" w:type="dxa"/>
            <w:tcBorders>
              <w:top w:val="single" w:sz="4" w:space="0" w:color="auto"/>
              <w:left w:val="single" w:sz="4" w:space="0" w:color="auto"/>
              <w:bottom w:val="single" w:sz="4" w:space="0" w:color="auto"/>
              <w:right w:val="single" w:sz="4" w:space="0" w:color="auto"/>
            </w:tcBorders>
            <w:vAlign w:val="bottom"/>
          </w:tcPr>
          <w:p w:rsidR="00AF4647" w:rsidRPr="003A6B45" w:rsidRDefault="00AF4647" w:rsidP="00AF4647">
            <w:pPr>
              <w:jc w:val="both"/>
              <w:rPr>
                <w:rFonts w:ascii="Trebuchet MS" w:hAnsi="Trebuchet MS"/>
                <w:color w:val="000000"/>
                <w:sz w:val="20"/>
                <w:szCs w:val="20"/>
              </w:rPr>
            </w:pPr>
            <w:r w:rsidRPr="003A6B45">
              <w:rPr>
                <w:rFonts w:ascii="Trebuchet MS" w:hAnsi="Trebuchet MS"/>
                <w:color w:val="000000"/>
                <w:sz w:val="20"/>
                <w:szCs w:val="20"/>
              </w:rPr>
              <w:t>CB</w:t>
            </w:r>
          </w:p>
        </w:tc>
      </w:tr>
      <w:tr w:rsidR="00AF4647" w:rsidTr="00073EF8">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Comprehensive Exam</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3 Hour</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40% (=100 points)</w:t>
            </w:r>
          </w:p>
        </w:tc>
        <w:tc>
          <w:tcPr>
            <w:tcW w:w="2160" w:type="dxa"/>
            <w:tcBorders>
              <w:top w:val="single" w:sz="4" w:space="0" w:color="auto"/>
              <w:left w:val="single" w:sz="4" w:space="0" w:color="auto"/>
              <w:bottom w:val="single" w:sz="4" w:space="0" w:color="auto"/>
              <w:right w:val="single" w:sz="4" w:space="0" w:color="auto"/>
            </w:tcBorders>
            <w:vAlign w:val="center"/>
          </w:tcPr>
          <w:p w:rsidR="00AF4647" w:rsidRPr="007B14C0" w:rsidRDefault="007B14C0" w:rsidP="00AF4647">
            <w:pPr>
              <w:jc w:val="center"/>
              <w:rPr>
                <w:sz w:val="20"/>
              </w:rPr>
            </w:pPr>
            <w:r w:rsidRPr="007B14C0">
              <w:rPr>
                <w:sz w:val="20"/>
              </w:rPr>
              <w:t>13/12 AN</w:t>
            </w:r>
          </w:p>
        </w:tc>
        <w:tc>
          <w:tcPr>
            <w:tcW w:w="1969"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CB</w:t>
            </w:r>
          </w:p>
        </w:tc>
      </w:tr>
    </w:tbl>
    <w:p w:rsidR="001754B0" w:rsidRPr="00376F8A" w:rsidRDefault="001754B0" w:rsidP="001754B0">
      <w:pPr>
        <w:widowControl w:val="0"/>
        <w:autoSpaceDE w:val="0"/>
        <w:autoSpaceDN w:val="0"/>
        <w:adjustRightInd w:val="0"/>
        <w:jc w:val="both"/>
        <w:rPr>
          <w:rFonts w:ascii="Trebuchet MS" w:hAnsi="Trebuchet MS"/>
          <w:sz w:val="20"/>
          <w:szCs w:val="20"/>
        </w:rPr>
      </w:pPr>
      <w:r w:rsidRPr="00376F8A">
        <w:rPr>
          <w:rFonts w:ascii="Trebuchet MS" w:hAnsi="Trebuchet MS"/>
          <w:b/>
          <w:sz w:val="20"/>
          <w:szCs w:val="20"/>
        </w:rPr>
        <w:t>Note</w:t>
      </w:r>
      <w:r w:rsidRPr="00376F8A">
        <w:rPr>
          <w:rFonts w:ascii="Trebuchet MS" w:hAnsi="Trebuchet MS"/>
          <w:sz w:val="20"/>
          <w:szCs w:val="20"/>
        </w:rPr>
        <w:t>: Points will be converted into marks based on their weightage.</w:t>
      </w:r>
      <w:r w:rsidR="00464CDB">
        <w:rPr>
          <w:rFonts w:ascii="Trebuchet MS" w:hAnsi="Trebuchet MS"/>
          <w:sz w:val="20"/>
          <w:szCs w:val="20"/>
        </w:rPr>
        <w:t xml:space="preserve"> </w:t>
      </w: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Chamber Consultation Hour</w:t>
      </w:r>
      <w:r w:rsidR="00E22E13">
        <w:rPr>
          <w:rFonts w:ascii="Trebuchet MS" w:hAnsi="Trebuchet MS"/>
          <w:sz w:val="20"/>
          <w:szCs w:val="20"/>
        </w:rPr>
        <w:t>: K-229</w:t>
      </w:r>
      <w:r w:rsidRPr="00376F8A">
        <w:rPr>
          <w:rFonts w:ascii="Trebuchet MS" w:hAnsi="Trebuchet MS"/>
          <w:sz w:val="20"/>
          <w:szCs w:val="20"/>
        </w:rPr>
        <w:t xml:space="preserve">; Wednesday &amp; </w:t>
      </w:r>
      <w:r w:rsidRPr="00376F8A">
        <w:rPr>
          <w:rFonts w:ascii="Trebuchet MS" w:hAnsi="Trebuchet MS"/>
          <w:spacing w:val="-2"/>
          <w:sz w:val="20"/>
          <w:szCs w:val="20"/>
        </w:rPr>
        <w:t xml:space="preserve">Thursday 4:00 PM to 5:00 PM.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Make-up policy: </w:t>
      </w:r>
      <w:r w:rsidRPr="00376F8A">
        <w:rPr>
          <w:rFonts w:ascii="Trebuchet MS" w:hAnsi="Trebuchet MS"/>
          <w:sz w:val="20"/>
          <w:szCs w:val="20"/>
        </w:rPr>
        <w:t>Make</w:t>
      </w:r>
      <w:r w:rsidRPr="00376F8A">
        <w:rPr>
          <w:rFonts w:ascii="Trebuchet MS" w:hAnsi="Trebuchet MS" w:cs="Cambria Math"/>
          <w:sz w:val="20"/>
          <w:szCs w:val="20"/>
        </w:rPr>
        <w:t>‐</w:t>
      </w:r>
      <w:r w:rsidRPr="00376F8A">
        <w:rPr>
          <w:rFonts w:ascii="Trebuchet MS" w:hAnsi="Trebuchet MS"/>
          <w:sz w:val="20"/>
          <w:szCs w:val="20"/>
        </w:rPr>
        <w:t xml:space="preserve">up will be given only on Doctor’s/Warden’s recommendation and with prior </w:t>
      </w:r>
      <w:r>
        <w:rPr>
          <w:rFonts w:ascii="Trebuchet MS" w:hAnsi="Trebuchet MS"/>
          <w:sz w:val="20"/>
          <w:szCs w:val="20"/>
        </w:rPr>
        <w:t xml:space="preserve"> </w:t>
      </w:r>
      <w:r w:rsidRPr="00376F8A">
        <w:rPr>
          <w:rFonts w:ascii="Trebuchet MS" w:hAnsi="Trebuchet MS"/>
          <w:sz w:val="20"/>
          <w:szCs w:val="20"/>
        </w:rPr>
        <w:t xml:space="preserve">(at least 01 day before the test/exam) permission of the Instructor­in­Charge/Instructor. Request for make­up made by phone/sms or during/after the test/exam would </w:t>
      </w:r>
      <w:r w:rsidRPr="00376F8A">
        <w:rPr>
          <w:rFonts w:ascii="Trebuchet MS" w:hAnsi="Trebuchet MS"/>
          <w:b/>
          <w:i/>
          <w:sz w:val="20"/>
          <w:szCs w:val="20"/>
          <w:u w:val="single"/>
        </w:rPr>
        <w:t>NOT</w:t>
      </w:r>
      <w:r w:rsidRPr="00376F8A">
        <w:rPr>
          <w:rFonts w:ascii="Trebuchet MS" w:hAnsi="Trebuchet MS"/>
          <w:sz w:val="20"/>
          <w:szCs w:val="20"/>
        </w:rPr>
        <w:t xml:space="preserve"> be entertained at all.</w:t>
      </w:r>
    </w:p>
    <w:p w:rsidR="00AD25E1" w:rsidRDefault="00AD25E1">
      <w:pPr>
        <w:jc w:val="right"/>
      </w:pPr>
    </w:p>
    <w:tbl>
      <w:tblPr>
        <w:tblW w:w="9500" w:type="dxa"/>
        <w:tblInd w:w="-10" w:type="dxa"/>
        <w:tblLook w:val="04A0" w:firstRow="1" w:lastRow="0" w:firstColumn="1" w:lastColumn="0" w:noHBand="0" w:noVBand="1"/>
      </w:tblPr>
      <w:tblGrid>
        <w:gridCol w:w="1385"/>
        <w:gridCol w:w="4999"/>
        <w:gridCol w:w="3116"/>
      </w:tblGrid>
      <w:tr w:rsidR="000B0040" w:rsidRPr="00D00899" w:rsidTr="00B363B1">
        <w:trPr>
          <w:trHeight w:val="190"/>
        </w:trPr>
        <w:tc>
          <w:tcPr>
            <w:tcW w:w="1385" w:type="dxa"/>
            <w:tcBorders>
              <w:top w:val="single" w:sz="8" w:space="0" w:color="auto"/>
              <w:left w:val="single" w:sz="8" w:space="0" w:color="auto"/>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Component</w:t>
            </w:r>
          </w:p>
        </w:tc>
        <w:tc>
          <w:tcPr>
            <w:tcW w:w="4999" w:type="dxa"/>
            <w:tcBorders>
              <w:top w:val="single" w:sz="8" w:space="0" w:color="auto"/>
              <w:left w:val="nil"/>
              <w:bottom w:val="single" w:sz="8" w:space="0" w:color="auto"/>
              <w:right w:val="nil"/>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Date</w:t>
            </w:r>
          </w:p>
        </w:tc>
        <w:tc>
          <w:tcPr>
            <w:tcW w:w="3115" w:type="dxa"/>
            <w:tcBorders>
              <w:top w:val="single" w:sz="8" w:space="0" w:color="auto"/>
              <w:left w:val="nil"/>
              <w:bottom w:val="single" w:sz="8" w:space="0" w:color="auto"/>
              <w:right w:val="single" w:sz="8"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Mode</w:t>
            </w:r>
          </w:p>
        </w:tc>
      </w:tr>
      <w:tr w:rsidR="000B0040" w:rsidRPr="00D00899" w:rsidTr="00B363B1">
        <w:trPr>
          <w:trHeight w:val="199"/>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Quiz-1</w:t>
            </w:r>
          </w:p>
        </w:tc>
        <w:tc>
          <w:tcPr>
            <w:tcW w:w="8115" w:type="dxa"/>
            <w:gridSpan w:val="2"/>
            <w:tcBorders>
              <w:top w:val="nil"/>
              <w:left w:val="nil"/>
              <w:bottom w:val="single" w:sz="4" w:space="0" w:color="auto"/>
              <w:right w:val="single" w:sz="8" w:space="0" w:color="auto"/>
            </w:tcBorders>
            <w:shd w:val="clear" w:color="auto" w:fill="auto"/>
            <w:noWrap/>
            <w:vAlign w:val="bottom"/>
          </w:tcPr>
          <w:p w:rsidR="000B0040" w:rsidRPr="006E5788" w:rsidRDefault="00464CDB" w:rsidP="00B363B1">
            <w:pPr>
              <w:rPr>
                <w:rFonts w:ascii="Calibri" w:hAnsi="Calibri" w:cs="Calibri"/>
                <w:color w:val="000000"/>
                <w:sz w:val="22"/>
                <w:szCs w:val="22"/>
              </w:rPr>
            </w:pPr>
            <w:r>
              <w:rPr>
                <w:rFonts w:ascii="Calibri" w:hAnsi="Calibri" w:cs="Calibri"/>
                <w:color w:val="000000"/>
                <w:sz w:val="22"/>
                <w:szCs w:val="22"/>
              </w:rPr>
              <w:t>11</w:t>
            </w:r>
            <w:r w:rsidRPr="00016790">
              <w:rPr>
                <w:rFonts w:ascii="Calibri" w:hAnsi="Calibri" w:cs="Calibri"/>
                <w:color w:val="000000"/>
                <w:sz w:val="22"/>
                <w:szCs w:val="22"/>
                <w:vertAlign w:val="superscript"/>
              </w:rPr>
              <w:t>th</w:t>
            </w:r>
            <w:r>
              <w:rPr>
                <w:rFonts w:ascii="Calibri" w:hAnsi="Calibri" w:cs="Calibri"/>
                <w:color w:val="000000"/>
                <w:sz w:val="22"/>
                <w:szCs w:val="22"/>
              </w:rPr>
              <w:t xml:space="preserve"> September 2019</w:t>
            </w:r>
            <w:r w:rsidR="000B0040">
              <w:rPr>
                <w:rFonts w:ascii="Trebuchet MS" w:hAnsi="Trebuchet MS" w:cs="Calibri"/>
                <w:b/>
                <w:bCs/>
                <w:color w:val="000000"/>
                <w:sz w:val="18"/>
                <w:szCs w:val="18"/>
              </w:rPr>
              <w:t>: Venue and exact timings will be posted on CMS</w:t>
            </w:r>
            <w:r w:rsidR="000B0040" w:rsidRPr="00D00899">
              <w:rPr>
                <w:rFonts w:ascii="Trebuchet MS" w:hAnsi="Trebuchet MS" w:cs="Calibri"/>
                <w:b/>
                <w:bCs/>
                <w:color w:val="000000"/>
                <w:sz w:val="18"/>
                <w:szCs w:val="18"/>
              </w:rPr>
              <w:t xml:space="preserve">                                                                             </w:t>
            </w:r>
          </w:p>
        </w:tc>
      </w:tr>
      <w:tr w:rsidR="000B0040" w:rsidRPr="00D00899" w:rsidTr="00B363B1">
        <w:trPr>
          <w:trHeight w:val="181"/>
        </w:trPr>
        <w:tc>
          <w:tcPr>
            <w:tcW w:w="1385" w:type="dxa"/>
            <w:tcBorders>
              <w:top w:val="nil"/>
              <w:left w:val="single" w:sz="8" w:space="0" w:color="auto"/>
              <w:bottom w:val="single" w:sz="4" w:space="0" w:color="auto"/>
              <w:right w:val="single" w:sz="4" w:space="0" w:color="auto"/>
            </w:tcBorders>
            <w:shd w:val="clear" w:color="auto" w:fill="auto"/>
            <w:noWrap/>
            <w:vAlign w:val="bottom"/>
            <w:hideMark/>
          </w:tcPr>
          <w:p w:rsidR="000B0040" w:rsidRPr="00D00899" w:rsidRDefault="000B0040" w:rsidP="00B363B1">
            <w:pPr>
              <w:rPr>
                <w:rFonts w:ascii="Calibri" w:hAnsi="Calibri" w:cs="Calibri"/>
                <w:b/>
                <w:bCs/>
                <w:color w:val="000000"/>
                <w:sz w:val="22"/>
                <w:szCs w:val="22"/>
              </w:rPr>
            </w:pPr>
            <w:r w:rsidRPr="00D00899">
              <w:rPr>
                <w:rFonts w:ascii="Calibri" w:hAnsi="Calibri" w:cs="Calibri"/>
                <w:b/>
                <w:bCs/>
                <w:color w:val="000000"/>
                <w:sz w:val="22"/>
                <w:szCs w:val="22"/>
              </w:rPr>
              <w:t>Quiz-2</w:t>
            </w:r>
          </w:p>
        </w:tc>
        <w:tc>
          <w:tcPr>
            <w:tcW w:w="8115" w:type="dxa"/>
            <w:gridSpan w:val="2"/>
            <w:tcBorders>
              <w:top w:val="nil"/>
              <w:left w:val="nil"/>
              <w:bottom w:val="single" w:sz="4" w:space="0" w:color="auto"/>
              <w:right w:val="single" w:sz="8" w:space="0" w:color="auto"/>
            </w:tcBorders>
            <w:shd w:val="clear" w:color="auto" w:fill="auto"/>
            <w:noWrap/>
            <w:vAlign w:val="bottom"/>
          </w:tcPr>
          <w:p w:rsidR="000B0040" w:rsidRPr="00D00899" w:rsidRDefault="00464CDB" w:rsidP="00B363B1">
            <w:pPr>
              <w:rPr>
                <w:rFonts w:ascii="Calibri" w:hAnsi="Calibri" w:cs="Calibri"/>
                <w:color w:val="000000"/>
                <w:sz w:val="22"/>
                <w:szCs w:val="22"/>
              </w:rPr>
            </w:pPr>
            <w:r>
              <w:rPr>
                <w:rFonts w:ascii="Calibri" w:hAnsi="Calibri" w:cs="Calibri"/>
                <w:color w:val="000000"/>
                <w:sz w:val="22"/>
                <w:szCs w:val="22"/>
              </w:rPr>
              <w:t>15</w:t>
            </w:r>
            <w:r w:rsidRPr="00016790">
              <w:rPr>
                <w:rFonts w:ascii="Calibri" w:hAnsi="Calibri" w:cs="Calibri"/>
                <w:color w:val="000000"/>
                <w:sz w:val="22"/>
                <w:szCs w:val="22"/>
                <w:vertAlign w:val="superscript"/>
              </w:rPr>
              <w:t>th</w:t>
            </w:r>
            <w:r>
              <w:rPr>
                <w:rFonts w:ascii="Calibri" w:hAnsi="Calibri" w:cs="Calibri"/>
                <w:color w:val="000000"/>
                <w:sz w:val="22"/>
                <w:szCs w:val="22"/>
              </w:rPr>
              <w:t xml:space="preserve"> November, 2019</w:t>
            </w:r>
            <w:r w:rsidR="000B0040">
              <w:rPr>
                <w:rFonts w:ascii="Trebuchet MS" w:hAnsi="Trebuchet MS" w:cs="Calibri"/>
                <w:b/>
                <w:bCs/>
                <w:color w:val="000000"/>
                <w:sz w:val="18"/>
                <w:szCs w:val="18"/>
              </w:rPr>
              <w:t>: Venue and exact timings will be posted on CMS</w:t>
            </w:r>
            <w:r w:rsidR="000B0040" w:rsidRPr="00D00899">
              <w:rPr>
                <w:rFonts w:ascii="Trebuchet MS" w:hAnsi="Trebuchet MS" w:cs="Calibri"/>
                <w:b/>
                <w:bCs/>
                <w:color w:val="000000"/>
                <w:sz w:val="18"/>
                <w:szCs w:val="18"/>
              </w:rPr>
              <w:t xml:space="preserve">      </w:t>
            </w:r>
            <w:r>
              <w:rPr>
                <w:rFonts w:ascii="Trebuchet MS" w:hAnsi="Trebuchet MS" w:cs="Calibri"/>
                <w:b/>
                <w:bCs/>
                <w:color w:val="000000"/>
                <w:sz w:val="18"/>
                <w:szCs w:val="18"/>
              </w:rPr>
              <w:t xml:space="preserve"> </w:t>
            </w:r>
            <w:r w:rsidR="000B0040" w:rsidRPr="00D00899">
              <w:rPr>
                <w:rFonts w:ascii="Trebuchet MS" w:hAnsi="Trebuchet MS" w:cs="Calibri"/>
                <w:b/>
                <w:bCs/>
                <w:color w:val="000000"/>
                <w:sz w:val="18"/>
                <w:szCs w:val="18"/>
              </w:rPr>
              <w:t xml:space="preserve">           </w:t>
            </w:r>
            <w:r w:rsidR="000B0040">
              <w:rPr>
                <w:rFonts w:ascii="Trebuchet MS" w:hAnsi="Trebuchet MS" w:cs="Calibri"/>
                <w:b/>
                <w:bCs/>
                <w:color w:val="000000"/>
                <w:sz w:val="18"/>
                <w:szCs w:val="18"/>
              </w:rPr>
              <w:t xml:space="preserve"> </w:t>
            </w:r>
            <w:r w:rsidR="000B0040" w:rsidRPr="00D00899">
              <w:rPr>
                <w:rFonts w:ascii="Trebuchet MS" w:hAnsi="Trebuchet MS" w:cs="Calibri"/>
                <w:b/>
                <w:bCs/>
                <w:color w:val="000000"/>
                <w:sz w:val="18"/>
                <w:szCs w:val="18"/>
              </w:rPr>
              <w:t xml:space="preserve">                                                     </w:t>
            </w:r>
          </w:p>
        </w:tc>
      </w:tr>
    </w:tbl>
    <w:p w:rsidR="000B0040" w:rsidRDefault="000B0040">
      <w:pPr>
        <w:jc w:val="right"/>
      </w:pPr>
    </w:p>
    <w:p w:rsidR="000B0040" w:rsidRPr="000B0040" w:rsidRDefault="000B0040" w:rsidP="000B0040">
      <w:pPr>
        <w:widowControl w:val="0"/>
        <w:autoSpaceDE w:val="0"/>
        <w:autoSpaceDN w:val="0"/>
        <w:adjustRightInd w:val="0"/>
        <w:spacing w:line="276" w:lineRule="auto"/>
        <w:jc w:val="both"/>
        <w:rPr>
          <w:rFonts w:ascii="Trebuchet MS" w:hAnsi="Trebuchet MS"/>
          <w:color w:val="000000"/>
          <w:sz w:val="20"/>
          <w:szCs w:val="20"/>
        </w:rPr>
      </w:pPr>
      <w:r w:rsidRPr="00741A3B">
        <w:rPr>
          <w:rFonts w:ascii="Trebuchet MS" w:hAnsi="Trebuchet MS"/>
          <w:color w:val="FF0000"/>
          <w:sz w:val="20"/>
          <w:szCs w:val="20"/>
        </w:rPr>
        <w:t xml:space="preserve">*Note: No make-ups for the quizzes. </w:t>
      </w:r>
      <w:r w:rsidRPr="000B0040">
        <w:rPr>
          <w:rFonts w:ascii="Trebuchet MS" w:hAnsi="Trebuchet MS"/>
          <w:color w:val="000000"/>
          <w:sz w:val="20"/>
          <w:szCs w:val="20"/>
        </w:rPr>
        <w:t xml:space="preserve">Both quizzes will be counted for final grade calculation.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p>
    <w:p w:rsidR="000B0040" w:rsidRPr="000149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Assignment </w:t>
      </w:r>
      <w:r>
        <w:rPr>
          <w:rFonts w:ascii="Trebuchet MS" w:hAnsi="Trebuchet MS"/>
          <w:b/>
          <w:sz w:val="20"/>
          <w:szCs w:val="20"/>
        </w:rPr>
        <w:t>(Data should be downloaded using python and analysis should be done using R and Excel only).</w:t>
      </w:r>
      <w:r>
        <w:rPr>
          <w:rFonts w:ascii="Trebuchet MS" w:hAnsi="Trebuchet MS"/>
          <w:sz w:val="20"/>
          <w:szCs w:val="20"/>
        </w:rPr>
        <w:t xml:space="preserve"> Group wise Assignment Topic, </w:t>
      </w:r>
      <w:r w:rsidRPr="00376F8A">
        <w:rPr>
          <w:rFonts w:ascii="Trebuchet MS" w:hAnsi="Trebuchet MS"/>
          <w:sz w:val="20"/>
          <w:szCs w:val="20"/>
        </w:rPr>
        <w:t xml:space="preserve">Expected Deliverables, Methodology and Data Collection </w:t>
      </w:r>
      <w:r>
        <w:rPr>
          <w:rFonts w:ascii="Trebuchet MS" w:hAnsi="Trebuchet MS"/>
          <w:sz w:val="20"/>
          <w:szCs w:val="20"/>
        </w:rPr>
        <w:t>process details will be posted</w:t>
      </w:r>
      <w:r w:rsidR="004A4AB9">
        <w:rPr>
          <w:rFonts w:ascii="Trebuchet MS" w:hAnsi="Trebuchet MS"/>
          <w:sz w:val="20"/>
          <w:szCs w:val="20"/>
        </w:rPr>
        <w:t xml:space="preserve"> on CMS by second week of August, </w:t>
      </w:r>
      <w:r>
        <w:rPr>
          <w:rFonts w:ascii="Trebuchet MS" w:hAnsi="Trebuchet MS"/>
          <w:sz w:val="20"/>
          <w:szCs w:val="20"/>
        </w:rPr>
        <w:t xml:space="preserve">2019. </w:t>
      </w:r>
      <w:r>
        <w:rPr>
          <w:rFonts w:ascii="Trebuchet MS" w:hAnsi="Trebuchet MS"/>
          <w:b/>
          <w:sz w:val="20"/>
          <w:szCs w:val="20"/>
        </w:rPr>
        <w:t>A</w:t>
      </w:r>
      <w:r w:rsidRPr="00376F8A">
        <w:rPr>
          <w:rFonts w:ascii="Trebuchet MS" w:hAnsi="Trebuchet MS"/>
          <w:b/>
          <w:sz w:val="20"/>
          <w:szCs w:val="20"/>
        </w:rPr>
        <w:t xml:space="preserve">ssignment </w:t>
      </w:r>
      <w:r>
        <w:rPr>
          <w:rFonts w:ascii="Trebuchet MS" w:hAnsi="Trebuchet MS"/>
          <w:b/>
          <w:sz w:val="20"/>
          <w:szCs w:val="20"/>
        </w:rPr>
        <w:t xml:space="preserve">submission date: </w:t>
      </w:r>
      <w:r w:rsidR="00D46F8F">
        <w:rPr>
          <w:rFonts w:ascii="Trebuchet MS" w:hAnsi="Trebuchet MS"/>
          <w:b/>
          <w:sz w:val="20"/>
          <w:szCs w:val="20"/>
        </w:rPr>
        <w:t>1</w:t>
      </w:r>
      <w:r>
        <w:rPr>
          <w:rFonts w:ascii="Trebuchet MS" w:hAnsi="Trebuchet MS"/>
          <w:b/>
          <w:sz w:val="20"/>
          <w:szCs w:val="20"/>
        </w:rPr>
        <w:t>1</w:t>
      </w:r>
      <w:r w:rsidR="00D46F8F">
        <w:rPr>
          <w:rFonts w:ascii="Trebuchet MS" w:hAnsi="Trebuchet MS"/>
          <w:b/>
          <w:sz w:val="20"/>
          <w:szCs w:val="20"/>
          <w:vertAlign w:val="superscript"/>
        </w:rPr>
        <w:t>th</w:t>
      </w:r>
      <w:r w:rsidR="00D46F8F">
        <w:rPr>
          <w:rFonts w:ascii="Trebuchet MS" w:hAnsi="Trebuchet MS"/>
          <w:b/>
          <w:sz w:val="20"/>
          <w:szCs w:val="20"/>
        </w:rPr>
        <w:t xml:space="preserve"> Nov</w:t>
      </w:r>
      <w:r>
        <w:rPr>
          <w:rFonts w:ascii="Trebuchet MS" w:hAnsi="Trebuchet MS"/>
          <w:b/>
          <w:sz w:val="20"/>
          <w:szCs w:val="20"/>
        </w:rPr>
        <w:t xml:space="preserve"> 2019; 5:00 PM. </w:t>
      </w:r>
      <w:r w:rsidRPr="00376F8A">
        <w:rPr>
          <w:rFonts w:ascii="Trebuchet MS" w:hAnsi="Trebuchet MS"/>
          <w:b/>
          <w:sz w:val="20"/>
          <w:szCs w:val="20"/>
        </w:rPr>
        <w:t xml:space="preserve">(Soft copy should be sent to </w:t>
      </w:r>
      <w:hyperlink r:id="rId19" w:history="1">
        <w:r w:rsidRPr="005429B7">
          <w:rPr>
            <w:rStyle w:val="Hyperlink"/>
            <w:rFonts w:ascii="Trebuchet MS" w:hAnsi="Trebuchet MS"/>
            <w:b/>
            <w:sz w:val="20"/>
            <w:szCs w:val="20"/>
          </w:rPr>
          <w:t>bits.drm.assignment@gmail.com</w:t>
        </w:r>
      </w:hyperlink>
      <w:r>
        <w:rPr>
          <w:rFonts w:ascii="Trebuchet MS" w:hAnsi="Trebuchet MS"/>
          <w:b/>
          <w:sz w:val="20"/>
          <w:szCs w:val="20"/>
        </w:rPr>
        <w:t xml:space="preserve"> </w:t>
      </w:r>
      <w:r w:rsidRPr="00376F8A">
        <w:rPr>
          <w:rFonts w:ascii="Trebuchet MS" w:hAnsi="Trebuchet MS"/>
          <w:b/>
          <w:sz w:val="20"/>
          <w:szCs w:val="20"/>
        </w:rPr>
        <w:t>and hard copy sho</w:t>
      </w:r>
      <w:r w:rsidR="00624AA6">
        <w:rPr>
          <w:rFonts w:ascii="Trebuchet MS" w:hAnsi="Trebuchet MS"/>
          <w:b/>
          <w:sz w:val="20"/>
          <w:szCs w:val="20"/>
        </w:rPr>
        <w:t>uld be submitted in my chamber K-229</w:t>
      </w:r>
      <w:r w:rsidRPr="00376F8A">
        <w:rPr>
          <w:rFonts w:ascii="Trebuchet MS" w:hAnsi="Trebuchet MS"/>
          <w:b/>
          <w:sz w:val="20"/>
          <w:szCs w:val="20"/>
        </w:rPr>
        <w:t xml:space="preserve">). </w:t>
      </w:r>
      <w:r>
        <w:rPr>
          <w:rFonts w:ascii="Trebuchet MS" w:hAnsi="Trebuchet MS"/>
          <w:b/>
          <w:sz w:val="20"/>
          <w:szCs w:val="20"/>
        </w:rPr>
        <w:t xml:space="preserve">Post due date submissions (both hard and soft copy) will not be considered for evaluation and you will be awarded zero marks in this component. </w:t>
      </w:r>
      <w:r w:rsidRPr="00376F8A">
        <w:rPr>
          <w:rFonts w:ascii="Trebuchet MS" w:hAnsi="Trebuchet MS"/>
          <w:b/>
          <w:sz w:val="20"/>
          <w:szCs w:val="20"/>
        </w:rPr>
        <w:t>Only 25 percent of the plagiarism is allowed and thereafter for every 10 percent of additional plagiarism, one mark (or ten points) will be deducted.</w:t>
      </w:r>
      <w:r>
        <w:rPr>
          <w:rFonts w:ascii="Trebuchet MS" w:hAnsi="Trebuchet MS"/>
          <w:b/>
          <w:sz w:val="20"/>
          <w:szCs w:val="20"/>
        </w:rPr>
        <w:t xml:space="preserve"> </w:t>
      </w:r>
    </w:p>
    <w:p w:rsidR="000B0040" w:rsidRDefault="000B0040" w:rsidP="000B0040">
      <w:pPr>
        <w:spacing w:line="276" w:lineRule="auto"/>
        <w:jc w:val="both"/>
        <w:rPr>
          <w:rFonts w:ascii="Trebuchet MS" w:hAnsi="Trebuchet MS"/>
          <w:b/>
          <w:sz w:val="20"/>
          <w:szCs w:val="20"/>
        </w:rPr>
      </w:pPr>
    </w:p>
    <w:p w:rsidR="000B0040" w:rsidRPr="00587BBE" w:rsidRDefault="000B0040" w:rsidP="000B0040">
      <w:pPr>
        <w:spacing w:line="276" w:lineRule="auto"/>
        <w:jc w:val="both"/>
        <w:rPr>
          <w:rFonts w:ascii="Trebuchet MS" w:hAnsi="Trebuchet MS"/>
          <w:b/>
          <w:sz w:val="20"/>
          <w:szCs w:val="20"/>
        </w:rPr>
      </w:pPr>
      <w:r>
        <w:rPr>
          <w:rFonts w:ascii="Trebuchet MS" w:hAnsi="Trebuchet MS"/>
          <w:b/>
          <w:sz w:val="20"/>
          <w:szCs w:val="20"/>
        </w:rPr>
        <w:t xml:space="preserve">Simulation and Group Assignment requires the prior knowledge of Python, R and Excel, hence you are advised to collect the required resources from the I/C of the course. </w:t>
      </w:r>
    </w:p>
    <w:p w:rsidR="000B0040" w:rsidRDefault="000B0040" w:rsidP="000B0040">
      <w:pPr>
        <w:spacing w:line="276" w:lineRule="auto"/>
        <w:jc w:val="both"/>
        <w:rPr>
          <w:rFonts w:ascii="Trebuchet MS" w:hAnsi="Trebuchet MS"/>
          <w:b/>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F311 &amp; </w:t>
      </w:r>
      <w:r w:rsidRPr="00376F8A">
        <w:rPr>
          <w:rFonts w:ascii="Trebuchet MS" w:hAnsi="Trebuchet MS"/>
          <w:b/>
          <w:bCs/>
          <w:i/>
          <w:iCs/>
        </w:rPr>
        <w:t>ECON F354</w:t>
      </w:r>
    </w:p>
    <w:sectPr w:rsidR="00A44798" w:rsidRPr="000B0040" w:rsidSect="00562598">
      <w:headerReference w:type="default" r:id="rId20"/>
      <w:foot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022" w:rsidRDefault="00B70022" w:rsidP="00EB2F06">
      <w:r>
        <w:separator/>
      </w:r>
    </w:p>
  </w:endnote>
  <w:endnote w:type="continuationSeparator" w:id="0">
    <w:p w:rsidR="00B70022" w:rsidRDefault="00B7002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7B14C0">
      <w:rPr>
        <w:noProof/>
      </w:rPr>
      <w:t>5</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022" w:rsidRDefault="00B70022" w:rsidP="00EB2F06">
      <w:r>
        <w:separator/>
      </w:r>
    </w:p>
  </w:footnote>
  <w:footnote w:type="continuationSeparator" w:id="0">
    <w:p w:rsidR="00B70022" w:rsidRDefault="00B7002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4999"/>
    <w:rsid w:val="00055BC8"/>
    <w:rsid w:val="00073EF8"/>
    <w:rsid w:val="000A4CE9"/>
    <w:rsid w:val="000B0040"/>
    <w:rsid w:val="000D0C39"/>
    <w:rsid w:val="000D1BA7"/>
    <w:rsid w:val="00105CA3"/>
    <w:rsid w:val="001368F6"/>
    <w:rsid w:val="00167B88"/>
    <w:rsid w:val="00174571"/>
    <w:rsid w:val="001754B0"/>
    <w:rsid w:val="00206089"/>
    <w:rsid w:val="0021277E"/>
    <w:rsid w:val="00217EB9"/>
    <w:rsid w:val="00240A50"/>
    <w:rsid w:val="00251FD3"/>
    <w:rsid w:val="00256511"/>
    <w:rsid w:val="0029648E"/>
    <w:rsid w:val="002F1369"/>
    <w:rsid w:val="003558C3"/>
    <w:rsid w:val="0037644C"/>
    <w:rsid w:val="003B37EE"/>
    <w:rsid w:val="003D6BA8"/>
    <w:rsid w:val="003F66A8"/>
    <w:rsid w:val="004571B3"/>
    <w:rsid w:val="00464CDB"/>
    <w:rsid w:val="004A4AB9"/>
    <w:rsid w:val="004F7E43"/>
    <w:rsid w:val="005053E8"/>
    <w:rsid w:val="00507883"/>
    <w:rsid w:val="00507A43"/>
    <w:rsid w:val="0051535D"/>
    <w:rsid w:val="005340D0"/>
    <w:rsid w:val="00536862"/>
    <w:rsid w:val="0056064F"/>
    <w:rsid w:val="00562598"/>
    <w:rsid w:val="00562AB6"/>
    <w:rsid w:val="00576A69"/>
    <w:rsid w:val="005C5B22"/>
    <w:rsid w:val="005C6693"/>
    <w:rsid w:val="00624AA6"/>
    <w:rsid w:val="00670BDE"/>
    <w:rsid w:val="0071057B"/>
    <w:rsid w:val="007543E4"/>
    <w:rsid w:val="007625AE"/>
    <w:rsid w:val="0078127A"/>
    <w:rsid w:val="007B14C0"/>
    <w:rsid w:val="007C3DFF"/>
    <w:rsid w:val="007D58BE"/>
    <w:rsid w:val="007E402E"/>
    <w:rsid w:val="008005D9"/>
    <w:rsid w:val="00831DD5"/>
    <w:rsid w:val="00856125"/>
    <w:rsid w:val="0089126E"/>
    <w:rsid w:val="008A2200"/>
    <w:rsid w:val="00944887"/>
    <w:rsid w:val="00950295"/>
    <w:rsid w:val="009734E4"/>
    <w:rsid w:val="0097488C"/>
    <w:rsid w:val="00983916"/>
    <w:rsid w:val="009A3CAB"/>
    <w:rsid w:val="009A4DDA"/>
    <w:rsid w:val="009B48FD"/>
    <w:rsid w:val="00A021D6"/>
    <w:rsid w:val="00A44798"/>
    <w:rsid w:val="00AD25E1"/>
    <w:rsid w:val="00AF125F"/>
    <w:rsid w:val="00AF1587"/>
    <w:rsid w:val="00AF4647"/>
    <w:rsid w:val="00B01DBD"/>
    <w:rsid w:val="00B23878"/>
    <w:rsid w:val="00B4248A"/>
    <w:rsid w:val="00B55284"/>
    <w:rsid w:val="00B6215D"/>
    <w:rsid w:val="00B70022"/>
    <w:rsid w:val="00B86684"/>
    <w:rsid w:val="00BA568D"/>
    <w:rsid w:val="00C338D9"/>
    <w:rsid w:val="00C6663B"/>
    <w:rsid w:val="00C93074"/>
    <w:rsid w:val="00CA330B"/>
    <w:rsid w:val="00CC46F9"/>
    <w:rsid w:val="00CE4ECE"/>
    <w:rsid w:val="00CF21AC"/>
    <w:rsid w:val="00D036CE"/>
    <w:rsid w:val="00D46F8F"/>
    <w:rsid w:val="00D65972"/>
    <w:rsid w:val="00D8127F"/>
    <w:rsid w:val="00DA1841"/>
    <w:rsid w:val="00DB7398"/>
    <w:rsid w:val="00DD7A77"/>
    <w:rsid w:val="00DE3D84"/>
    <w:rsid w:val="00DF03AE"/>
    <w:rsid w:val="00E22E13"/>
    <w:rsid w:val="00E40BA2"/>
    <w:rsid w:val="00E50CBC"/>
    <w:rsid w:val="00E61C30"/>
    <w:rsid w:val="00E754E7"/>
    <w:rsid w:val="00E94ADC"/>
    <w:rsid w:val="00EB2F06"/>
    <w:rsid w:val="00EB7E1B"/>
    <w:rsid w:val="00F34A71"/>
    <w:rsid w:val="00F45E80"/>
    <w:rsid w:val="00F74057"/>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A0389"/>
  <w15:docId w15:val="{2C649CEA-9B1E-4AA8-8F51-EED388D9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hyperlink" Target="https://dbie.rbi.org.in/DBIE/dbie.rbi?site=home" TargetMode="External"/><Relationship Id="rId18" Type="http://schemas.openxmlformats.org/officeDocument/2006/relationships/hyperlink" Target="http://www.jpx.co.jp/english/derivatives/index.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hyperlink" Target="http://www.cmegroup.com/company/" TargetMode="External"/><Relationship Id="rId2" Type="http://schemas.openxmlformats.org/officeDocument/2006/relationships/styles" Target="styles.xml"/><Relationship Id="rId16" Type="http://schemas.openxmlformats.org/officeDocument/2006/relationships/hyperlink" Target="https://www.nseindia.com/products/content/derivatives/equities/fo.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quantpedia.com/Home/About" TargetMode="External"/><Relationship Id="rId23" Type="http://schemas.openxmlformats.org/officeDocument/2006/relationships/theme" Target="theme/theme1.xml"/><Relationship Id="rId10" Type="http://schemas.openxmlformats.org/officeDocument/2006/relationships/hyperlink" Target="https://www.nseindia.com/products/content/derivatives/equities/fo.htm" TargetMode="External"/><Relationship Id="rId19" Type="http://schemas.openxmlformats.org/officeDocument/2006/relationships/hyperlink" Target="mailto:bits.drm.assignment@gmail.com" TargetMode="Externa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2019-07-23T05:06:00Z</dcterms:created>
  <dcterms:modified xsi:type="dcterms:W3CDTF">2019-07-28T08:50:00Z</dcterms:modified>
</cp:coreProperties>
</file>