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B50584"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F96F03">
      <w:pPr>
        <w:jc w:val="center"/>
        <w:rPr>
          <w:b/>
          <w:bCs/>
        </w:rPr>
      </w:pPr>
      <w:r>
        <w:rPr>
          <w:b/>
          <w:bCs/>
        </w:rPr>
        <w:t xml:space="preserve">FIRST </w:t>
      </w:r>
      <w:r w:rsidR="00FB4DE4">
        <w:rPr>
          <w:b/>
          <w:bCs/>
        </w:rPr>
        <w:t>SEMESTER 20</w:t>
      </w:r>
      <w:r w:rsidR="000E5C94">
        <w:rPr>
          <w:b/>
          <w:bCs/>
        </w:rPr>
        <w:t>1</w:t>
      </w:r>
      <w:r w:rsidR="002F3895">
        <w:rPr>
          <w:b/>
          <w:bCs/>
        </w:rPr>
        <w:t>9</w:t>
      </w:r>
      <w:r w:rsidR="00FB4DE4">
        <w:rPr>
          <w:b/>
          <w:bCs/>
        </w:rPr>
        <w:t>-20</w:t>
      </w:r>
      <w:r w:rsidR="002F3895">
        <w:rPr>
          <w:b/>
          <w:bCs/>
        </w:rPr>
        <w:t>20</w:t>
      </w:r>
    </w:p>
    <w:p w:rsidR="00AD25E1" w:rsidRPr="002C25C9" w:rsidRDefault="00AD25E1">
      <w:pPr>
        <w:pStyle w:val="Heading1"/>
        <w:jc w:val="center"/>
        <w:rPr>
          <w:i/>
        </w:rPr>
      </w:pPr>
      <w:r w:rsidRPr="002C25C9">
        <w:rPr>
          <w:i/>
        </w:rPr>
        <w:t>Course Handout Part II</w:t>
      </w:r>
    </w:p>
    <w:p w:rsidR="00AD25E1" w:rsidRPr="00553AFE" w:rsidRDefault="007543E4" w:rsidP="00562598">
      <w:pPr>
        <w:jc w:val="right"/>
        <w:rPr>
          <w:b/>
        </w:rPr>
      </w:pPr>
      <w:r>
        <w:tab/>
      </w:r>
      <w:r>
        <w:tab/>
      </w:r>
      <w:r>
        <w:tab/>
      </w:r>
      <w:r>
        <w:tab/>
      </w:r>
      <w:r>
        <w:tab/>
      </w:r>
      <w:r>
        <w:tab/>
      </w:r>
      <w:r>
        <w:tab/>
      </w:r>
      <w:r>
        <w:tab/>
      </w:r>
      <w:r>
        <w:tab/>
      </w:r>
      <w:r>
        <w:tab/>
        <w:t xml:space="preserve">    </w:t>
      </w:r>
      <w:r w:rsidR="00507A43" w:rsidRPr="00553AFE">
        <w:rPr>
          <w:b/>
        </w:rPr>
        <w:t xml:space="preserve">Date: </w:t>
      </w:r>
      <w:r w:rsidR="00804572">
        <w:rPr>
          <w:b/>
        </w:rPr>
        <w:t>15</w:t>
      </w:r>
      <w:r w:rsidR="00650244">
        <w:rPr>
          <w:b/>
        </w:rPr>
        <w:t>/</w:t>
      </w:r>
      <w:r w:rsidR="004F6D42">
        <w:rPr>
          <w:b/>
        </w:rPr>
        <w:t>0</w:t>
      </w:r>
      <w:r w:rsidR="00804572">
        <w:rPr>
          <w:b/>
        </w:rPr>
        <w:t>7</w:t>
      </w:r>
      <w:r w:rsidR="00650244">
        <w:rPr>
          <w:b/>
        </w:rPr>
        <w:t>/201</w:t>
      </w:r>
      <w:r w:rsidR="00804572">
        <w:rPr>
          <w:b/>
        </w:rPr>
        <w:t>9</w:t>
      </w:r>
      <w:r w:rsidR="00507A43" w:rsidRPr="00553AFE">
        <w:rPr>
          <w:b/>
        </w:rPr>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rsidP="00F70B0A">
      <w:pPr>
        <w:spacing w:line="120" w:lineRule="auto"/>
      </w:pPr>
    </w:p>
    <w:p w:rsidR="00AD25E1" w:rsidRDefault="00AD25E1">
      <w:pPr>
        <w:rPr>
          <w:i/>
          <w:iCs/>
        </w:rPr>
      </w:pPr>
      <w:r>
        <w:rPr>
          <w:i/>
          <w:iCs/>
        </w:rPr>
        <w:t>Course No.</w:t>
      </w:r>
      <w:r>
        <w:tab/>
      </w:r>
      <w:r>
        <w:tab/>
      </w:r>
      <w:r>
        <w:tab/>
        <w:t xml:space="preserve">: </w:t>
      </w:r>
      <w:r w:rsidR="00650244" w:rsidRPr="00650244">
        <w:t>ME G621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26457">
        <w:rPr>
          <w:i w:val="0"/>
          <w:iCs w:val="0"/>
        </w:rPr>
        <w:t>Fluid Dynamics</w:t>
      </w:r>
      <w:r w:rsidR="00650244" w:rsidRPr="00650244">
        <w:rPr>
          <w:i w:val="0"/>
          <w:iCs w:val="0"/>
        </w:rPr>
        <w:t xml:space="preserve"> </w:t>
      </w:r>
    </w:p>
    <w:p w:rsidR="00AD25E1" w:rsidRPr="00650244" w:rsidRDefault="00AD25E1">
      <w:pPr>
        <w:pStyle w:val="Heading2"/>
        <w:rPr>
          <w:i w:val="0"/>
          <w:iCs w:val="0"/>
        </w:rPr>
      </w:pPr>
      <w:r>
        <w:t>Instructor-in-Charge</w:t>
      </w:r>
      <w:r>
        <w:rPr>
          <w:i w:val="0"/>
          <w:iCs w:val="0"/>
        </w:rPr>
        <w:tab/>
      </w:r>
      <w:r>
        <w:rPr>
          <w:i w:val="0"/>
          <w:iCs w:val="0"/>
        </w:rPr>
        <w:tab/>
        <w:t xml:space="preserve">: </w:t>
      </w:r>
      <w:r w:rsidR="00426457">
        <w:rPr>
          <w:i w:val="0"/>
          <w:iCs w:val="0"/>
        </w:rPr>
        <w:t>K. Ram Chandra Murthy</w:t>
      </w:r>
    </w:p>
    <w:p w:rsidR="00AD25E1" w:rsidRDefault="00AD25E1" w:rsidP="00F70B0A">
      <w:pPr>
        <w:spacing w:line="120" w:lineRule="auto"/>
      </w:pPr>
    </w:p>
    <w:p w:rsidR="00AD25E1" w:rsidRDefault="00AD25E1">
      <w:pPr>
        <w:rPr>
          <w:b/>
          <w:bCs/>
        </w:rPr>
      </w:pPr>
      <w:r>
        <w:rPr>
          <w:b/>
          <w:bCs/>
        </w:rPr>
        <w:t xml:space="preserve">Scope </w:t>
      </w:r>
      <w:r w:rsidR="00ED447B">
        <w:rPr>
          <w:b/>
          <w:bCs/>
        </w:rPr>
        <w:t xml:space="preserve">and </w:t>
      </w:r>
      <w:r>
        <w:rPr>
          <w:b/>
          <w:bCs/>
        </w:rPr>
        <w:t>Objective of the Course:</w:t>
      </w:r>
    </w:p>
    <w:p w:rsidR="00AD25E1" w:rsidRPr="00CA693E" w:rsidRDefault="00650244" w:rsidP="00AB2117">
      <w:pPr>
        <w:pStyle w:val="BodyText"/>
        <w:spacing w:line="276" w:lineRule="auto"/>
      </w:pPr>
      <w:r w:rsidRPr="00650244">
        <w:t xml:space="preserve">The objective of this course is to lay strong foundation in understanding the concepts on turbulence and the statistical and computational methods used in estimating it. Starting from the basics of laminar flow concepts, the key parameters of turbulence is explained with the help of equations of motion. This course focuses also on fundamentals of compressible flow </w:t>
      </w:r>
      <w:proofErr w:type="spellStart"/>
      <w:r w:rsidRPr="00650244">
        <w:t>viz</w:t>
      </w:r>
      <w:proofErr w:type="spellEnd"/>
      <w:r w:rsidRPr="00650244">
        <w:t xml:space="preserve"> isentropic flow, shock waves, </w:t>
      </w:r>
      <w:proofErr w:type="spellStart"/>
      <w:proofErr w:type="gramStart"/>
      <w:r w:rsidRPr="00650244">
        <w:t>Prandtl</w:t>
      </w:r>
      <w:proofErr w:type="spellEnd"/>
      <w:proofErr w:type="gramEnd"/>
      <w:r w:rsidRPr="00650244">
        <w:t>-Meyer expansions. The fundamental mathematics and physics governing these flows are derived and discussed.</w:t>
      </w:r>
    </w:p>
    <w:p w:rsidR="000E5C94" w:rsidRPr="00CA693E" w:rsidRDefault="000E5C94" w:rsidP="00F70B0A">
      <w:pPr>
        <w:spacing w:line="120" w:lineRule="auto"/>
      </w:pPr>
    </w:p>
    <w:p w:rsidR="00AD25E1" w:rsidRPr="00A44798" w:rsidRDefault="00AD25E1">
      <w:pPr>
        <w:pStyle w:val="BodyText"/>
        <w:rPr>
          <w:bCs/>
        </w:rPr>
      </w:pPr>
      <w:r>
        <w:rPr>
          <w:b/>
          <w:bCs/>
        </w:rPr>
        <w:t>Text</w:t>
      </w:r>
      <w:r w:rsidR="00156C2D">
        <w:rPr>
          <w:b/>
          <w:bCs/>
        </w:rPr>
        <w:t xml:space="preserve"> B</w:t>
      </w:r>
      <w:r>
        <w:rPr>
          <w:b/>
          <w:bCs/>
        </w:rPr>
        <w:t>ook</w:t>
      </w:r>
      <w:r w:rsidR="00ED447B">
        <w:rPr>
          <w:b/>
          <w:bCs/>
        </w:rPr>
        <w:t xml:space="preserve"> (TB)</w:t>
      </w:r>
      <w:r w:rsidR="00DA1841">
        <w:rPr>
          <w:b/>
          <w:bCs/>
        </w:rPr>
        <w:t>:</w:t>
      </w:r>
    </w:p>
    <w:p w:rsidR="00F96F03" w:rsidRPr="00F96F03" w:rsidRDefault="00F96F03" w:rsidP="00F96F03">
      <w:pPr>
        <w:numPr>
          <w:ilvl w:val="0"/>
          <w:numId w:val="2"/>
        </w:numPr>
        <w:jc w:val="both"/>
        <w:rPr>
          <w:bCs/>
        </w:rPr>
      </w:pPr>
      <w:proofErr w:type="spellStart"/>
      <w:r w:rsidRPr="00F96F03">
        <w:rPr>
          <w:bCs/>
        </w:rPr>
        <w:t>Garde</w:t>
      </w:r>
      <w:proofErr w:type="spellEnd"/>
      <w:r w:rsidRPr="00F96F03">
        <w:rPr>
          <w:bCs/>
        </w:rPr>
        <w:t xml:space="preserve"> R. J., </w:t>
      </w:r>
      <w:r w:rsidRPr="00F96F03">
        <w:rPr>
          <w:bCs/>
          <w:i/>
        </w:rPr>
        <w:t>Turbulent Flow</w:t>
      </w:r>
      <w:r w:rsidRPr="00F96F03">
        <w:rPr>
          <w:bCs/>
        </w:rPr>
        <w:t>, New Age International Pvt. Ltd., New Delhi, 3</w:t>
      </w:r>
      <w:r w:rsidRPr="007562F5">
        <w:rPr>
          <w:bCs/>
          <w:vertAlign w:val="superscript"/>
        </w:rPr>
        <w:t>rd</w:t>
      </w:r>
      <w:r w:rsidR="007562F5">
        <w:rPr>
          <w:bCs/>
        </w:rPr>
        <w:t xml:space="preserve"> </w:t>
      </w:r>
      <w:r w:rsidRPr="00F96F03">
        <w:rPr>
          <w:bCs/>
        </w:rPr>
        <w:t>Ed., 2010.</w:t>
      </w:r>
    </w:p>
    <w:p w:rsidR="00DA1841" w:rsidRPr="00F96F03" w:rsidRDefault="00F96F03" w:rsidP="00F96F03">
      <w:pPr>
        <w:numPr>
          <w:ilvl w:val="0"/>
          <w:numId w:val="2"/>
        </w:numPr>
        <w:jc w:val="both"/>
        <w:rPr>
          <w:bCs/>
        </w:rPr>
      </w:pPr>
      <w:proofErr w:type="spellStart"/>
      <w:r w:rsidRPr="00F96F03">
        <w:rPr>
          <w:bCs/>
        </w:rPr>
        <w:t>Yahya</w:t>
      </w:r>
      <w:proofErr w:type="spellEnd"/>
      <w:r w:rsidRPr="00F96F03">
        <w:rPr>
          <w:bCs/>
        </w:rPr>
        <w:t xml:space="preserve"> S. M., </w:t>
      </w:r>
      <w:r w:rsidRPr="00F96F03">
        <w:rPr>
          <w:bCs/>
          <w:i/>
        </w:rPr>
        <w:t>Fundamentals of Compressible Flow with Aircraft and Rocket Propulsion</w:t>
      </w:r>
      <w:r w:rsidRPr="00F96F03">
        <w:rPr>
          <w:bCs/>
        </w:rPr>
        <w:t>, New Age International Pvt. Ltd., New Delhi, 4</w:t>
      </w:r>
      <w:r w:rsidRPr="007562F5">
        <w:rPr>
          <w:bCs/>
          <w:vertAlign w:val="superscript"/>
        </w:rPr>
        <w:t>th</w:t>
      </w:r>
      <w:r w:rsidR="007562F5">
        <w:rPr>
          <w:bCs/>
        </w:rPr>
        <w:t xml:space="preserve"> </w:t>
      </w:r>
      <w:r w:rsidRPr="00F96F03">
        <w:rPr>
          <w:bCs/>
        </w:rPr>
        <w:t>Ed., 2010.</w:t>
      </w:r>
    </w:p>
    <w:p w:rsidR="00A44798" w:rsidRPr="00CA693E" w:rsidRDefault="00A44798" w:rsidP="00F70B0A">
      <w:pPr>
        <w:spacing w:line="120" w:lineRule="auto"/>
      </w:pPr>
    </w:p>
    <w:p w:rsidR="00AD25E1" w:rsidRDefault="00AD25E1">
      <w:pPr>
        <w:jc w:val="both"/>
        <w:rPr>
          <w:b/>
          <w:bCs/>
        </w:rPr>
      </w:pPr>
      <w:r>
        <w:rPr>
          <w:b/>
          <w:bCs/>
        </w:rPr>
        <w:t xml:space="preserve">Reference </w:t>
      </w:r>
      <w:r w:rsidR="00156C2D">
        <w:rPr>
          <w:b/>
          <w:bCs/>
        </w:rPr>
        <w:t>B</w:t>
      </w:r>
      <w:r>
        <w:rPr>
          <w:b/>
          <w:bCs/>
        </w:rPr>
        <w:t>ook</w:t>
      </w:r>
      <w:r w:rsidR="00ED447B">
        <w:rPr>
          <w:b/>
          <w:bCs/>
        </w:rPr>
        <w:t xml:space="preserve"> (RB)</w:t>
      </w:r>
      <w:r w:rsidR="00324E90">
        <w:rPr>
          <w:b/>
          <w:bCs/>
        </w:rPr>
        <w:t>:</w:t>
      </w:r>
    </w:p>
    <w:p w:rsidR="00324E90" w:rsidRDefault="00324E90" w:rsidP="00324E90">
      <w:pPr>
        <w:numPr>
          <w:ilvl w:val="0"/>
          <w:numId w:val="3"/>
        </w:numPr>
        <w:jc w:val="both"/>
      </w:pPr>
      <w:r>
        <w:t xml:space="preserve">John D. Anderson Jr., </w:t>
      </w:r>
      <w:r w:rsidRPr="00324E90">
        <w:rPr>
          <w:i/>
        </w:rPr>
        <w:t>Modern Compressible Flow - With Historical Perspective</w:t>
      </w:r>
      <w:r>
        <w:t>, McGraw-Hill Publishing Company, Singapore, 2</w:t>
      </w:r>
      <w:r w:rsidRPr="007562F5">
        <w:rPr>
          <w:vertAlign w:val="superscript"/>
        </w:rPr>
        <w:t>nd</w:t>
      </w:r>
      <w:r w:rsidR="007562F5">
        <w:t xml:space="preserve"> </w:t>
      </w:r>
      <w:r>
        <w:t>Ed., 1990.</w:t>
      </w:r>
    </w:p>
    <w:p w:rsidR="00AD25E1" w:rsidRPr="00CA693E" w:rsidRDefault="00324E90" w:rsidP="00324E90">
      <w:pPr>
        <w:numPr>
          <w:ilvl w:val="0"/>
          <w:numId w:val="3"/>
        </w:numPr>
        <w:jc w:val="both"/>
      </w:pPr>
      <w:r>
        <w:t xml:space="preserve">Stephen B. Pope, </w:t>
      </w:r>
      <w:r w:rsidRPr="00324E90">
        <w:rPr>
          <w:i/>
        </w:rPr>
        <w:t>Turbulent Flows</w:t>
      </w:r>
      <w:r>
        <w:t>, Cambridge University Press, 2000.</w:t>
      </w:r>
    </w:p>
    <w:p w:rsidR="00A44798" w:rsidRPr="00CA693E" w:rsidRDefault="00A44798" w:rsidP="00F70B0A">
      <w:pPr>
        <w:spacing w:line="120" w:lineRule="auto"/>
      </w:pPr>
    </w:p>
    <w:p w:rsidR="00AD25E1" w:rsidRDefault="00AD25E1">
      <w:pPr>
        <w:jc w:val="both"/>
        <w:rPr>
          <w:b/>
          <w:bCs/>
        </w:rPr>
      </w:pPr>
      <w:r>
        <w:rPr>
          <w:b/>
          <w:bCs/>
        </w:rPr>
        <w:t>Course Plan:</w:t>
      </w:r>
    </w:p>
    <w:tbl>
      <w:tblPr>
        <w:tblW w:w="1056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65"/>
        <w:gridCol w:w="2250"/>
        <w:gridCol w:w="5670"/>
        <w:gridCol w:w="1684"/>
      </w:tblGrid>
      <w:tr w:rsidR="00A161AF" w:rsidRPr="00BA568D" w:rsidTr="005F7974">
        <w:trPr>
          <w:jc w:val="center"/>
        </w:trPr>
        <w:tc>
          <w:tcPr>
            <w:tcW w:w="9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EA3338">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5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EA3338">
            <w:pPr>
              <w:jc w:val="center"/>
              <w:rPr>
                <w:b/>
                <w:bCs/>
                <w:sz w:val="22"/>
                <w:szCs w:val="22"/>
              </w:rPr>
            </w:pPr>
            <w:r w:rsidRPr="00BA568D">
              <w:rPr>
                <w:b/>
                <w:bCs/>
                <w:sz w:val="22"/>
                <w:szCs w:val="22"/>
              </w:rPr>
              <w:t>Learning objectives</w:t>
            </w:r>
          </w:p>
        </w:tc>
        <w:tc>
          <w:tcPr>
            <w:tcW w:w="567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EA3338">
            <w:pPr>
              <w:jc w:val="center"/>
              <w:rPr>
                <w:b/>
                <w:bCs/>
                <w:sz w:val="22"/>
                <w:szCs w:val="22"/>
              </w:rPr>
            </w:pPr>
            <w:r w:rsidRPr="00BA568D">
              <w:rPr>
                <w:b/>
                <w:bCs/>
                <w:sz w:val="22"/>
                <w:szCs w:val="22"/>
              </w:rPr>
              <w:t>Topics to be covered</w:t>
            </w:r>
          </w:p>
        </w:tc>
        <w:tc>
          <w:tcPr>
            <w:tcW w:w="16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746E7D" w:rsidRPr="00746E7D" w:rsidRDefault="00746E7D" w:rsidP="00EA3338">
            <w:pPr>
              <w:jc w:val="center"/>
              <w:rPr>
                <w:b/>
                <w:bCs/>
                <w:sz w:val="22"/>
                <w:szCs w:val="22"/>
              </w:rPr>
            </w:pPr>
            <w:r w:rsidRPr="00746E7D">
              <w:rPr>
                <w:b/>
                <w:bCs/>
                <w:sz w:val="22"/>
                <w:szCs w:val="22"/>
              </w:rPr>
              <w:t>Chapter/</w:t>
            </w:r>
          </w:p>
          <w:p w:rsidR="0097488C" w:rsidRPr="00BA568D" w:rsidRDefault="00746E7D" w:rsidP="00EA3338">
            <w:pPr>
              <w:jc w:val="center"/>
              <w:rPr>
                <w:b/>
                <w:bCs/>
                <w:sz w:val="22"/>
                <w:szCs w:val="22"/>
              </w:rPr>
            </w:pPr>
            <w:r w:rsidRPr="00746E7D">
              <w:rPr>
                <w:b/>
                <w:bCs/>
                <w:sz w:val="22"/>
                <w:szCs w:val="22"/>
              </w:rPr>
              <w:t>Section</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324E90" w:rsidP="00EA3338">
            <w:pPr>
              <w:jc w:val="center"/>
            </w:pPr>
            <w:r w:rsidRPr="00324E90">
              <w:t>1-4</w:t>
            </w:r>
          </w:p>
        </w:tc>
        <w:tc>
          <w:tcPr>
            <w:tcW w:w="2250"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324E90" w:rsidP="00EA3338">
            <w:r w:rsidRPr="00324E90">
              <w:t>Laminar Flow</w:t>
            </w:r>
          </w:p>
        </w:tc>
        <w:tc>
          <w:tcPr>
            <w:tcW w:w="5670" w:type="dxa"/>
            <w:tcBorders>
              <w:top w:val="single" w:sz="6" w:space="0" w:color="000000"/>
              <w:left w:val="single" w:sz="6" w:space="0" w:color="000000"/>
              <w:bottom w:val="single" w:sz="6" w:space="0" w:color="000000"/>
              <w:right w:val="single" w:sz="6" w:space="0" w:color="000000"/>
            </w:tcBorders>
            <w:vAlign w:val="center"/>
          </w:tcPr>
          <w:p w:rsidR="0097488C" w:rsidRPr="00553AFE" w:rsidRDefault="00324E90" w:rsidP="00EA3338">
            <w:pPr>
              <w:jc w:val="both"/>
            </w:pPr>
            <w:r w:rsidRPr="00324E90">
              <w:t>Introduction, Equations of motion, Conditions of Similarity, Creeping motion, Exact solutions of N-S equations, Boundary layer approximations, Characteristics of laminar flows</w:t>
            </w:r>
          </w:p>
        </w:tc>
        <w:tc>
          <w:tcPr>
            <w:tcW w:w="1684" w:type="dxa"/>
            <w:tcBorders>
              <w:top w:val="single" w:sz="6" w:space="0" w:color="000000"/>
              <w:left w:val="single" w:sz="6" w:space="0" w:color="000000"/>
              <w:bottom w:val="single" w:sz="6" w:space="0" w:color="000000"/>
              <w:right w:val="single" w:sz="6" w:space="0" w:color="000000"/>
            </w:tcBorders>
            <w:vAlign w:val="center"/>
          </w:tcPr>
          <w:p w:rsidR="00324E90" w:rsidRDefault="00324E90" w:rsidP="00EA3338">
            <w:r>
              <w:t>TB:1</w:t>
            </w:r>
          </w:p>
          <w:p w:rsidR="0097488C" w:rsidRPr="00553AFE" w:rsidRDefault="00324E90" w:rsidP="00EA3338">
            <w:r>
              <w:t>Chapter: 1</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5-7</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Transition from Laminar to Turbulent Flow</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072EFE" w:rsidP="00EA3338">
            <w:pPr>
              <w:jc w:val="both"/>
            </w:pPr>
            <w:r w:rsidRPr="00072EFE">
              <w:t>Concept of Stability, Stability analysis, Experimental verification, Factors affecting transition</w:t>
            </w:r>
          </w:p>
        </w:tc>
        <w:tc>
          <w:tcPr>
            <w:tcW w:w="1684" w:type="dxa"/>
            <w:tcBorders>
              <w:top w:val="single" w:sz="6" w:space="0" w:color="000000"/>
              <w:left w:val="single" w:sz="6" w:space="0" w:color="000000"/>
              <w:bottom w:val="single" w:sz="6" w:space="0" w:color="000000"/>
              <w:right w:val="single" w:sz="6" w:space="0" w:color="000000"/>
            </w:tcBorders>
            <w:vAlign w:val="center"/>
          </w:tcPr>
          <w:p w:rsidR="00072EFE" w:rsidRDefault="00072EFE" w:rsidP="00EA3338">
            <w:r>
              <w:t>TB:1</w:t>
            </w:r>
          </w:p>
          <w:p w:rsidR="00156C2D" w:rsidRPr="00553AFE" w:rsidRDefault="00072EFE" w:rsidP="00EA3338">
            <w:r>
              <w:t>Chapter: 2</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8-11</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Nature of Turbulence</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072EFE" w:rsidP="00EA3338">
            <w:pPr>
              <w:jc w:val="both"/>
            </w:pPr>
            <w:r w:rsidRPr="00072EFE">
              <w:t>Averaging procedures, Characteristics of turbulent flows, Types of turbulent flows, Scales of turbulence, Methods of analysis</w:t>
            </w:r>
          </w:p>
        </w:tc>
        <w:tc>
          <w:tcPr>
            <w:tcW w:w="1684" w:type="dxa"/>
            <w:tcBorders>
              <w:top w:val="single" w:sz="6" w:space="0" w:color="000000"/>
              <w:left w:val="single" w:sz="6" w:space="0" w:color="000000"/>
              <w:bottom w:val="single" w:sz="6" w:space="0" w:color="000000"/>
              <w:right w:val="single" w:sz="6" w:space="0" w:color="000000"/>
            </w:tcBorders>
            <w:vAlign w:val="center"/>
          </w:tcPr>
          <w:p w:rsidR="00072EFE" w:rsidRDefault="00072EFE" w:rsidP="00EA3338">
            <w:r>
              <w:t>TB:1</w:t>
            </w:r>
          </w:p>
          <w:p w:rsidR="00156C2D" w:rsidRPr="00553AFE" w:rsidRDefault="00072EFE" w:rsidP="00EA3338">
            <w:r>
              <w:t>Chapter: 3</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12-14</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Equations of Motion</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072EFE" w:rsidP="00EA3338">
            <w:pPr>
              <w:jc w:val="both"/>
            </w:pPr>
            <w:r w:rsidRPr="00072EFE">
              <w:t>Reynold’s equation of motion, Energy Equation, Bernoulli’s equation for mean flow</w:t>
            </w:r>
          </w:p>
        </w:tc>
        <w:tc>
          <w:tcPr>
            <w:tcW w:w="1684" w:type="dxa"/>
            <w:tcBorders>
              <w:top w:val="single" w:sz="6" w:space="0" w:color="000000"/>
              <w:left w:val="single" w:sz="6" w:space="0" w:color="000000"/>
              <w:bottom w:val="single" w:sz="6" w:space="0" w:color="000000"/>
              <w:right w:val="single" w:sz="6" w:space="0" w:color="000000"/>
            </w:tcBorders>
            <w:vAlign w:val="center"/>
          </w:tcPr>
          <w:p w:rsidR="00072EFE" w:rsidRDefault="00072EFE" w:rsidP="00EA3338">
            <w:r>
              <w:t>TB:1</w:t>
            </w:r>
          </w:p>
          <w:p w:rsidR="00156C2D" w:rsidRPr="00553AFE" w:rsidRDefault="00072EFE" w:rsidP="00EA3338">
            <w:r>
              <w:t>Chapter: 4</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15-20</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Statistical Theory of Turbulence</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 xml:space="preserve">Introduction &amp; some definitions, Isotropic turbulence and homogeneous turbulence, Kinematics &amp; dynamics of </w:t>
            </w:r>
            <w:r w:rsidRPr="00F10091">
              <w:lastRenderedPageBreak/>
              <w:t>isotropic turbulence, Spectrum analysis, Kolmogorov’s theory of local isotropy</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lastRenderedPageBreak/>
              <w:t>TB:1</w:t>
            </w:r>
          </w:p>
          <w:p w:rsidR="00156C2D" w:rsidRPr="00553AFE" w:rsidRDefault="00F10091" w:rsidP="00EA3338">
            <w:r>
              <w:t>Chapter: 5</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21-24</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Turbulence Models</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Mixing length hypothesis, Karman’s similarity hypothesis, Vorticity transport theory, Zero equation models, One equation models, Two equation models, Multi-equation models</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TB:1</w:t>
            </w:r>
          </w:p>
          <w:p w:rsidR="00156C2D" w:rsidRPr="00553AFE" w:rsidRDefault="00F10091" w:rsidP="00EA3338">
            <w:r>
              <w:t>Chapter: 6</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25-2</w:t>
            </w:r>
            <w:r w:rsidR="004701F9">
              <w:t>7</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Introduction to Compressible flow</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Definitions, Basic relations, Energy equations</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Chapters: 1&amp;2</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2</w:t>
            </w:r>
            <w:r w:rsidR="004701F9">
              <w:t>8-29</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Rate Equations</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Rate equations for a control volume</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 3</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4701F9" w:rsidP="00EA3338">
            <w:pPr>
              <w:jc w:val="center"/>
            </w:pPr>
            <w:r>
              <w:t>30</w:t>
            </w:r>
            <w:r w:rsidR="00324E90" w:rsidRPr="00324E90">
              <w:t>-3</w:t>
            </w:r>
            <w:r>
              <w:t>2</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Isentropic Flow with Variable Area</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Stagnation and critical states, Flow through nozzles and diffusers, Use of gas tables</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 4</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3</w:t>
            </w:r>
            <w:r w:rsidR="004701F9">
              <w:t>3</w:t>
            </w:r>
            <w:r w:rsidRPr="00324E90">
              <w:t>-3</w:t>
            </w:r>
            <w:r w:rsidR="004701F9">
              <w:t>6</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Flow with Normal Shock Waves</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 xml:space="preserve">Governing equations, </w:t>
            </w:r>
            <w:proofErr w:type="spellStart"/>
            <w:r w:rsidRPr="00F10091">
              <w:t>Prandtl</w:t>
            </w:r>
            <w:proofErr w:type="spellEnd"/>
            <w:r w:rsidRPr="00F10091">
              <w:t>-Meyer Relation, Rankine-</w:t>
            </w:r>
            <w:proofErr w:type="spellStart"/>
            <w:r w:rsidRPr="00F10091">
              <w:t>Hugoniot</w:t>
            </w:r>
            <w:proofErr w:type="spellEnd"/>
            <w:r w:rsidRPr="00F10091">
              <w:t xml:space="preserve"> equations, Strength of a shock wave, Moving normal shock waves</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 6</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pPr>
              <w:jc w:val="center"/>
            </w:pPr>
            <w:r w:rsidRPr="00324E90">
              <w:t>3</w:t>
            </w:r>
            <w:r w:rsidR="004701F9">
              <w:t>7</w:t>
            </w:r>
            <w:r w:rsidRPr="00324E90">
              <w:t>-</w:t>
            </w:r>
            <w:r w:rsidR="004701F9">
              <w:t>39</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Flow in Constant Area Ducts with Friction</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proofErr w:type="spellStart"/>
            <w:r w:rsidRPr="00F10091">
              <w:t>Fanno</w:t>
            </w:r>
            <w:proofErr w:type="spellEnd"/>
            <w:r w:rsidRPr="00F10091">
              <w:t xml:space="preserve"> curves, </w:t>
            </w:r>
            <w:proofErr w:type="spellStart"/>
            <w:r w:rsidRPr="00F10091">
              <w:t>Fanno</w:t>
            </w:r>
            <w:proofErr w:type="spellEnd"/>
            <w:r w:rsidRPr="00F10091">
              <w:t xml:space="preserve"> flow equations and their solutions, Variation of Mach number with duct length, Isothermal flow with friction</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 8</w:t>
            </w:r>
          </w:p>
        </w:tc>
      </w:tr>
      <w:tr w:rsidR="00A161AF" w:rsidRPr="00BA568D" w:rsidTr="005F7974">
        <w:trPr>
          <w:trHeight w:val="576"/>
          <w:jc w:val="center"/>
        </w:trPr>
        <w:tc>
          <w:tcPr>
            <w:tcW w:w="965"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4701F9" w:rsidP="00EA3338">
            <w:pPr>
              <w:jc w:val="center"/>
            </w:pPr>
            <w:r>
              <w:t>40</w:t>
            </w:r>
            <w:r w:rsidR="00324E90" w:rsidRPr="00324E90">
              <w:t>-4</w:t>
            </w:r>
            <w:r>
              <w:t>2</w:t>
            </w:r>
          </w:p>
        </w:tc>
        <w:tc>
          <w:tcPr>
            <w:tcW w:w="225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324E90" w:rsidP="00EA3338">
            <w:r w:rsidRPr="00324E90">
              <w:t>Flow in Constant Area Ducts with Heat Transfer</w:t>
            </w:r>
          </w:p>
        </w:tc>
        <w:tc>
          <w:tcPr>
            <w:tcW w:w="5670" w:type="dxa"/>
            <w:tcBorders>
              <w:top w:val="single" w:sz="6" w:space="0" w:color="000000"/>
              <w:left w:val="single" w:sz="6" w:space="0" w:color="000000"/>
              <w:bottom w:val="single" w:sz="6" w:space="0" w:color="000000"/>
              <w:right w:val="single" w:sz="6" w:space="0" w:color="000000"/>
            </w:tcBorders>
            <w:vAlign w:val="center"/>
          </w:tcPr>
          <w:p w:rsidR="00156C2D" w:rsidRPr="00553AFE" w:rsidRDefault="00F10091" w:rsidP="00EA3338">
            <w:pPr>
              <w:jc w:val="both"/>
            </w:pPr>
            <w:r w:rsidRPr="00F10091">
              <w:t>Rayleigh line, Rayleigh flow relations, Maximum heat transfer</w:t>
            </w:r>
          </w:p>
        </w:tc>
        <w:tc>
          <w:tcPr>
            <w:tcW w:w="1684" w:type="dxa"/>
            <w:tcBorders>
              <w:top w:val="single" w:sz="6" w:space="0" w:color="000000"/>
              <w:left w:val="single" w:sz="6" w:space="0" w:color="000000"/>
              <w:bottom w:val="single" w:sz="6" w:space="0" w:color="000000"/>
              <w:right w:val="single" w:sz="6" w:space="0" w:color="000000"/>
            </w:tcBorders>
            <w:vAlign w:val="center"/>
          </w:tcPr>
          <w:p w:rsidR="00F10091" w:rsidRDefault="00F10091" w:rsidP="00EA3338">
            <w:r>
              <w:t>TB:2</w:t>
            </w:r>
          </w:p>
          <w:p w:rsidR="00156C2D" w:rsidRPr="00553AFE" w:rsidRDefault="00F10091" w:rsidP="00EA3338">
            <w:r>
              <w:t>Chapter: 9</w:t>
            </w:r>
          </w:p>
        </w:tc>
      </w:tr>
    </w:tbl>
    <w:p w:rsidR="00EB7E1B" w:rsidRDefault="00EB7E1B" w:rsidP="00F70B0A">
      <w:pPr>
        <w:spacing w:line="120" w:lineRule="auto"/>
      </w:pPr>
    </w:p>
    <w:p w:rsidR="00AD25E1" w:rsidRDefault="00AD25E1">
      <w:pPr>
        <w:jc w:val="both"/>
        <w:rPr>
          <w:b/>
          <w:bCs/>
        </w:rPr>
      </w:pPr>
      <w:r>
        <w:rPr>
          <w:b/>
          <w:bCs/>
        </w:rPr>
        <w:t>Evaluation Scheme:</w:t>
      </w:r>
    </w:p>
    <w:tbl>
      <w:tblPr>
        <w:tblW w:w="1055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1380"/>
        <w:gridCol w:w="2070"/>
        <w:gridCol w:w="2700"/>
        <w:gridCol w:w="1857"/>
      </w:tblGrid>
      <w:tr w:rsidR="00887FFA" w:rsidRPr="006643C5" w:rsidTr="007718DE">
        <w:trPr>
          <w:trHeight w:val="422"/>
          <w:jc w:val="center"/>
        </w:trPr>
        <w:tc>
          <w:tcPr>
            <w:tcW w:w="254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6643C5" w:rsidRDefault="00DE3D84">
            <w:pPr>
              <w:jc w:val="center"/>
              <w:rPr>
                <w:b/>
                <w:bCs/>
              </w:rPr>
            </w:pPr>
            <w:r w:rsidRPr="006643C5">
              <w:rPr>
                <w:b/>
                <w:bCs/>
              </w:rPr>
              <w:t>Component</w:t>
            </w:r>
          </w:p>
        </w:tc>
        <w:tc>
          <w:tcPr>
            <w:tcW w:w="138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6643C5" w:rsidRDefault="00DE3D84">
            <w:pPr>
              <w:jc w:val="center"/>
              <w:rPr>
                <w:b/>
                <w:bCs/>
              </w:rPr>
            </w:pPr>
            <w:r w:rsidRPr="006643C5">
              <w:rPr>
                <w:b/>
                <w:bCs/>
              </w:rPr>
              <w:t>Duration</w:t>
            </w:r>
          </w:p>
        </w:tc>
        <w:tc>
          <w:tcPr>
            <w:tcW w:w="20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6643C5" w:rsidRDefault="00DE3D84">
            <w:pPr>
              <w:jc w:val="center"/>
              <w:rPr>
                <w:b/>
                <w:bCs/>
              </w:rPr>
            </w:pPr>
            <w:r w:rsidRPr="006643C5">
              <w:rPr>
                <w:b/>
                <w:bCs/>
              </w:rPr>
              <w:t>Weightage</w:t>
            </w:r>
            <w:r w:rsidR="008005D9" w:rsidRPr="006643C5">
              <w:rPr>
                <w:b/>
                <w:bCs/>
              </w:rPr>
              <w:t xml:space="preserve"> (%)</w:t>
            </w:r>
          </w:p>
        </w:tc>
        <w:tc>
          <w:tcPr>
            <w:tcW w:w="270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6643C5" w:rsidRDefault="00DE3D84">
            <w:pPr>
              <w:jc w:val="center"/>
              <w:rPr>
                <w:b/>
                <w:bCs/>
              </w:rPr>
            </w:pPr>
            <w:r w:rsidRPr="006643C5">
              <w:rPr>
                <w:b/>
                <w:bCs/>
              </w:rPr>
              <w:t>Date &amp; Time</w:t>
            </w:r>
          </w:p>
        </w:tc>
        <w:tc>
          <w:tcPr>
            <w:tcW w:w="185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6643C5" w:rsidRDefault="00DE3D84" w:rsidP="00DE3D84">
            <w:pPr>
              <w:jc w:val="center"/>
              <w:rPr>
                <w:b/>
                <w:bCs/>
              </w:rPr>
            </w:pPr>
            <w:r w:rsidRPr="006643C5">
              <w:rPr>
                <w:b/>
                <w:bCs/>
              </w:rPr>
              <w:t>Nature of Component</w:t>
            </w:r>
          </w:p>
        </w:tc>
      </w:tr>
      <w:tr w:rsidR="00054928" w:rsidRPr="006643C5" w:rsidTr="007718DE">
        <w:trPr>
          <w:trHeight w:val="332"/>
          <w:jc w:val="center"/>
        </w:trPr>
        <w:tc>
          <w:tcPr>
            <w:tcW w:w="254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jc w:val="center"/>
            </w:pPr>
            <w:r>
              <w:t>Assignments</w:t>
            </w:r>
          </w:p>
        </w:tc>
        <w:tc>
          <w:tcPr>
            <w:tcW w:w="138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Pr>
                <w:spacing w:val="-3"/>
              </w:rPr>
              <w:t>10</w:t>
            </w:r>
          </w:p>
        </w:tc>
        <w:tc>
          <w:tcPr>
            <w:tcW w:w="2700" w:type="dxa"/>
            <w:tcBorders>
              <w:top w:val="single" w:sz="4" w:space="0" w:color="auto"/>
              <w:left w:val="single" w:sz="4" w:space="0" w:color="auto"/>
              <w:bottom w:val="single" w:sz="4" w:space="0" w:color="auto"/>
              <w:right w:val="single" w:sz="4" w:space="0" w:color="auto"/>
            </w:tcBorders>
            <w:vAlign w:val="center"/>
          </w:tcPr>
          <w:p w:rsidR="00054928" w:rsidRPr="00483626" w:rsidRDefault="005B05A8" w:rsidP="00054928">
            <w:pPr>
              <w:tabs>
                <w:tab w:val="left" w:pos="-720"/>
                <w:tab w:val="left" w:pos="720"/>
              </w:tabs>
              <w:suppressAutoHyphens/>
              <w:jc w:val="center"/>
              <w:rPr>
                <w:sz w:val="20"/>
                <w:szCs w:val="20"/>
              </w:rPr>
            </w:pPr>
            <w:r w:rsidRPr="00483626">
              <w:rPr>
                <w:sz w:val="20"/>
                <w:szCs w:val="20"/>
              </w:rPr>
              <w:t>To be announced in the class</w:t>
            </w:r>
            <w:bookmarkStart w:id="0" w:name="_GoBack"/>
            <w:bookmarkEnd w:id="0"/>
          </w:p>
        </w:tc>
        <w:tc>
          <w:tcPr>
            <w:tcW w:w="185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Open Book</w:t>
            </w:r>
          </w:p>
        </w:tc>
      </w:tr>
      <w:tr w:rsidR="00054928" w:rsidRPr="006643C5" w:rsidTr="007718DE">
        <w:trPr>
          <w:trHeight w:val="350"/>
          <w:jc w:val="center"/>
        </w:trPr>
        <w:tc>
          <w:tcPr>
            <w:tcW w:w="254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jc w:val="center"/>
            </w:pPr>
            <w:r w:rsidRPr="006643C5">
              <w:t>Lab Reports</w:t>
            </w:r>
            <w:r w:rsidR="002079FA">
              <w:t xml:space="preserve"> </w:t>
            </w:r>
            <w:r>
              <w:t>&amp;</w:t>
            </w:r>
            <w:r w:rsidR="002079FA">
              <w:t xml:space="preserve"> </w:t>
            </w:r>
            <w:r>
              <w:t>Viva</w:t>
            </w:r>
          </w:p>
        </w:tc>
        <w:tc>
          <w:tcPr>
            <w:tcW w:w="138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054928" w:rsidRPr="006643C5" w:rsidRDefault="003E731F" w:rsidP="00054928">
            <w:pPr>
              <w:tabs>
                <w:tab w:val="left" w:pos="-720"/>
                <w:tab w:val="left" w:pos="720"/>
              </w:tabs>
              <w:suppressAutoHyphens/>
              <w:jc w:val="center"/>
              <w:rPr>
                <w:spacing w:val="-3"/>
              </w:rPr>
            </w:pPr>
            <w:r>
              <w:rPr>
                <w:spacing w:val="-3"/>
              </w:rPr>
              <w:t>15</w:t>
            </w:r>
          </w:p>
        </w:tc>
        <w:tc>
          <w:tcPr>
            <w:tcW w:w="2700" w:type="dxa"/>
            <w:tcBorders>
              <w:top w:val="single" w:sz="4" w:space="0" w:color="auto"/>
              <w:left w:val="single" w:sz="4" w:space="0" w:color="auto"/>
              <w:bottom w:val="single" w:sz="4" w:space="0" w:color="auto"/>
              <w:right w:val="single" w:sz="4" w:space="0" w:color="auto"/>
            </w:tcBorders>
            <w:vAlign w:val="center"/>
          </w:tcPr>
          <w:p w:rsidR="00054928" w:rsidRPr="00483626" w:rsidRDefault="00054928" w:rsidP="00054928">
            <w:pPr>
              <w:tabs>
                <w:tab w:val="left" w:pos="-720"/>
                <w:tab w:val="left" w:pos="720"/>
              </w:tabs>
              <w:suppressAutoHyphens/>
              <w:jc w:val="center"/>
              <w:rPr>
                <w:sz w:val="20"/>
                <w:szCs w:val="20"/>
              </w:rPr>
            </w:pPr>
            <w:r w:rsidRPr="00483626">
              <w:rPr>
                <w:sz w:val="20"/>
                <w:szCs w:val="20"/>
              </w:rPr>
              <w:t>To be announced in the class</w:t>
            </w:r>
          </w:p>
        </w:tc>
        <w:tc>
          <w:tcPr>
            <w:tcW w:w="185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Open Book</w:t>
            </w:r>
          </w:p>
        </w:tc>
      </w:tr>
      <w:tr w:rsidR="00054928" w:rsidRPr="006643C5" w:rsidTr="007718DE">
        <w:trPr>
          <w:trHeight w:val="350"/>
          <w:jc w:val="center"/>
        </w:trPr>
        <w:tc>
          <w:tcPr>
            <w:tcW w:w="254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jc w:val="center"/>
            </w:pPr>
            <w:r w:rsidRPr="006643C5">
              <w:t>Project Seminars (Mid- &amp; End-</w:t>
            </w:r>
            <w:proofErr w:type="spellStart"/>
            <w:r w:rsidRPr="006643C5">
              <w:t>sem</w:t>
            </w:r>
            <w:proofErr w:type="spellEnd"/>
            <w:r w:rsidRPr="006643C5">
              <w:t>)</w:t>
            </w:r>
          </w:p>
        </w:tc>
        <w:tc>
          <w:tcPr>
            <w:tcW w:w="138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w:t>
            </w:r>
          </w:p>
        </w:tc>
        <w:tc>
          <w:tcPr>
            <w:tcW w:w="2070" w:type="dxa"/>
            <w:tcBorders>
              <w:top w:val="single" w:sz="4" w:space="0" w:color="auto"/>
              <w:left w:val="single" w:sz="4" w:space="0" w:color="auto"/>
              <w:bottom w:val="single" w:sz="4" w:space="0" w:color="auto"/>
              <w:right w:val="single" w:sz="4" w:space="0" w:color="auto"/>
            </w:tcBorders>
            <w:vAlign w:val="center"/>
          </w:tcPr>
          <w:p w:rsidR="00054928" w:rsidRPr="006643C5" w:rsidRDefault="003E731F" w:rsidP="00054928">
            <w:pPr>
              <w:tabs>
                <w:tab w:val="left" w:pos="-720"/>
                <w:tab w:val="left" w:pos="720"/>
              </w:tabs>
              <w:suppressAutoHyphens/>
              <w:jc w:val="center"/>
              <w:rPr>
                <w:spacing w:val="-3"/>
              </w:rPr>
            </w:pPr>
            <w:r>
              <w:rPr>
                <w:spacing w:val="-3"/>
              </w:rPr>
              <w:t>20</w:t>
            </w:r>
          </w:p>
        </w:tc>
        <w:tc>
          <w:tcPr>
            <w:tcW w:w="2700" w:type="dxa"/>
            <w:tcBorders>
              <w:top w:val="single" w:sz="4" w:space="0" w:color="auto"/>
              <w:left w:val="single" w:sz="4" w:space="0" w:color="auto"/>
              <w:bottom w:val="single" w:sz="4" w:space="0" w:color="auto"/>
              <w:right w:val="single" w:sz="4" w:space="0" w:color="auto"/>
            </w:tcBorders>
            <w:vAlign w:val="center"/>
          </w:tcPr>
          <w:p w:rsidR="00054928" w:rsidRPr="00483626" w:rsidRDefault="00054928" w:rsidP="00054928">
            <w:pPr>
              <w:tabs>
                <w:tab w:val="left" w:pos="-720"/>
                <w:tab w:val="left" w:pos="720"/>
              </w:tabs>
              <w:suppressAutoHyphens/>
              <w:jc w:val="center"/>
              <w:rPr>
                <w:sz w:val="20"/>
                <w:szCs w:val="20"/>
              </w:rPr>
            </w:pPr>
            <w:r w:rsidRPr="00483626">
              <w:rPr>
                <w:sz w:val="20"/>
                <w:szCs w:val="20"/>
              </w:rPr>
              <w:t>To be announced in the class</w:t>
            </w:r>
          </w:p>
        </w:tc>
        <w:tc>
          <w:tcPr>
            <w:tcW w:w="185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Open Book</w:t>
            </w:r>
          </w:p>
        </w:tc>
      </w:tr>
      <w:tr w:rsidR="00054928" w:rsidRPr="006643C5" w:rsidTr="007718DE">
        <w:trPr>
          <w:trHeight w:val="350"/>
          <w:jc w:val="center"/>
        </w:trPr>
        <w:tc>
          <w:tcPr>
            <w:tcW w:w="254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jc w:val="center"/>
            </w:pPr>
            <w:proofErr w:type="spellStart"/>
            <w:r w:rsidRPr="006643C5">
              <w:t>Midsem</w:t>
            </w:r>
            <w:proofErr w:type="spellEnd"/>
            <w:r w:rsidRPr="006643C5">
              <w:t xml:space="preserve"> Test</w:t>
            </w:r>
          </w:p>
        </w:tc>
        <w:tc>
          <w:tcPr>
            <w:tcW w:w="138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90</w:t>
            </w:r>
          </w:p>
        </w:tc>
        <w:tc>
          <w:tcPr>
            <w:tcW w:w="207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3E731F">
            <w:pPr>
              <w:tabs>
                <w:tab w:val="left" w:pos="-720"/>
                <w:tab w:val="left" w:pos="720"/>
              </w:tabs>
              <w:suppressAutoHyphens/>
              <w:jc w:val="center"/>
              <w:rPr>
                <w:spacing w:val="-3"/>
              </w:rPr>
            </w:pPr>
            <w:r w:rsidRPr="006643C5">
              <w:rPr>
                <w:spacing w:val="-3"/>
              </w:rPr>
              <w:t>2</w:t>
            </w:r>
            <w:r w:rsidR="003E731F">
              <w:rPr>
                <w:spacing w:val="-3"/>
              </w:rPr>
              <w:t>0</w:t>
            </w:r>
          </w:p>
        </w:tc>
        <w:tc>
          <w:tcPr>
            <w:tcW w:w="2700" w:type="dxa"/>
            <w:tcBorders>
              <w:top w:val="single" w:sz="4" w:space="0" w:color="auto"/>
              <w:left w:val="single" w:sz="4" w:space="0" w:color="auto"/>
              <w:bottom w:val="single" w:sz="4" w:space="0" w:color="auto"/>
              <w:right w:val="single" w:sz="4" w:space="0" w:color="auto"/>
            </w:tcBorders>
          </w:tcPr>
          <w:p w:rsidR="00054928" w:rsidRPr="00483626" w:rsidRDefault="005B05A8" w:rsidP="00054928">
            <w:pPr>
              <w:jc w:val="center"/>
              <w:rPr>
                <w:sz w:val="20"/>
                <w:szCs w:val="20"/>
              </w:rPr>
            </w:pPr>
            <w:r>
              <w:rPr>
                <w:sz w:val="20"/>
                <w:szCs w:val="20"/>
              </w:rPr>
              <w:t>03/10 , 11:00 – 12:30 pm</w:t>
            </w:r>
          </w:p>
        </w:tc>
        <w:tc>
          <w:tcPr>
            <w:tcW w:w="185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Closed Book</w:t>
            </w:r>
          </w:p>
        </w:tc>
      </w:tr>
      <w:tr w:rsidR="00054928" w:rsidRPr="006643C5" w:rsidTr="007718DE">
        <w:trPr>
          <w:trHeight w:val="350"/>
          <w:jc w:val="center"/>
        </w:trPr>
        <w:tc>
          <w:tcPr>
            <w:tcW w:w="254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jc w:val="center"/>
            </w:pPr>
            <w:proofErr w:type="spellStart"/>
            <w:r w:rsidRPr="006643C5">
              <w:t>Compre</w:t>
            </w:r>
            <w:proofErr w:type="spellEnd"/>
          </w:p>
        </w:tc>
        <w:tc>
          <w:tcPr>
            <w:tcW w:w="138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180</w:t>
            </w:r>
          </w:p>
        </w:tc>
        <w:tc>
          <w:tcPr>
            <w:tcW w:w="2070"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3E731F">
            <w:pPr>
              <w:tabs>
                <w:tab w:val="left" w:pos="-720"/>
                <w:tab w:val="left" w:pos="720"/>
              </w:tabs>
              <w:suppressAutoHyphens/>
              <w:jc w:val="center"/>
              <w:rPr>
                <w:spacing w:val="-3"/>
              </w:rPr>
            </w:pPr>
            <w:r w:rsidRPr="006643C5">
              <w:rPr>
                <w:spacing w:val="-3"/>
              </w:rPr>
              <w:t>3</w:t>
            </w:r>
            <w:r w:rsidR="003E731F">
              <w:rPr>
                <w:spacing w:val="-3"/>
              </w:rPr>
              <w:t>5</w:t>
            </w:r>
          </w:p>
        </w:tc>
        <w:tc>
          <w:tcPr>
            <w:tcW w:w="2700" w:type="dxa"/>
            <w:tcBorders>
              <w:top w:val="single" w:sz="4" w:space="0" w:color="auto"/>
              <w:left w:val="single" w:sz="4" w:space="0" w:color="auto"/>
              <w:bottom w:val="single" w:sz="4" w:space="0" w:color="auto"/>
              <w:right w:val="single" w:sz="4" w:space="0" w:color="auto"/>
            </w:tcBorders>
            <w:vAlign w:val="center"/>
          </w:tcPr>
          <w:p w:rsidR="00054928" w:rsidRPr="00483626" w:rsidRDefault="00CC4D16" w:rsidP="00054928">
            <w:pPr>
              <w:tabs>
                <w:tab w:val="left" w:pos="-720"/>
                <w:tab w:val="left" w:pos="720"/>
              </w:tabs>
              <w:suppressAutoHyphens/>
              <w:jc w:val="center"/>
              <w:rPr>
                <w:spacing w:val="-3"/>
                <w:sz w:val="20"/>
                <w:szCs w:val="20"/>
              </w:rPr>
            </w:pPr>
            <w:r>
              <w:rPr>
                <w:sz w:val="20"/>
                <w:szCs w:val="17"/>
              </w:rPr>
              <w:t>09</w:t>
            </w:r>
            <w:r w:rsidR="00054928" w:rsidRPr="00483626">
              <w:rPr>
                <w:sz w:val="20"/>
                <w:szCs w:val="17"/>
              </w:rPr>
              <w:t>/12 AN</w:t>
            </w:r>
          </w:p>
        </w:tc>
        <w:tc>
          <w:tcPr>
            <w:tcW w:w="1857" w:type="dxa"/>
            <w:tcBorders>
              <w:top w:val="single" w:sz="4" w:space="0" w:color="auto"/>
              <w:left w:val="single" w:sz="4" w:space="0" w:color="auto"/>
              <w:bottom w:val="single" w:sz="4" w:space="0" w:color="auto"/>
              <w:right w:val="single" w:sz="4" w:space="0" w:color="auto"/>
            </w:tcBorders>
            <w:vAlign w:val="center"/>
          </w:tcPr>
          <w:p w:rsidR="00054928" w:rsidRPr="006643C5" w:rsidRDefault="00054928" w:rsidP="00054928">
            <w:pPr>
              <w:tabs>
                <w:tab w:val="left" w:pos="-720"/>
                <w:tab w:val="left" w:pos="720"/>
              </w:tabs>
              <w:suppressAutoHyphens/>
              <w:jc w:val="center"/>
              <w:rPr>
                <w:spacing w:val="-3"/>
              </w:rPr>
            </w:pPr>
            <w:r w:rsidRPr="006643C5">
              <w:rPr>
                <w:spacing w:val="-3"/>
              </w:rPr>
              <w:t>Closed Book</w:t>
            </w:r>
          </w:p>
        </w:tc>
      </w:tr>
    </w:tbl>
    <w:p w:rsidR="00AD25E1" w:rsidRDefault="00AD25E1" w:rsidP="00F70B0A">
      <w:pPr>
        <w:spacing w:line="120" w:lineRule="auto"/>
      </w:pPr>
    </w:p>
    <w:p w:rsidR="00F10091" w:rsidRPr="00667391" w:rsidRDefault="00F10091" w:rsidP="00F10091">
      <w:pPr>
        <w:jc w:val="both"/>
        <w:rPr>
          <w:b/>
          <w:bCs/>
          <w:sz w:val="20"/>
        </w:rPr>
      </w:pPr>
      <w:r w:rsidRPr="00F10091">
        <w:rPr>
          <w:b/>
          <w:bCs/>
          <w:sz w:val="22"/>
          <w:vertAlign w:val="superscript"/>
        </w:rPr>
        <w:t>*</w:t>
      </w:r>
      <w:r w:rsidRPr="00667391">
        <w:rPr>
          <w:b/>
          <w:bCs/>
          <w:sz w:val="20"/>
        </w:rPr>
        <w:t>List of Experiments:</w:t>
      </w:r>
    </w:p>
    <w:p w:rsidR="005F7974" w:rsidRPr="00667391" w:rsidRDefault="005F7974" w:rsidP="00F10091">
      <w:pPr>
        <w:ind w:left="720"/>
        <w:jc w:val="both"/>
        <w:rPr>
          <w:b/>
          <w:bCs/>
          <w:sz w:val="20"/>
        </w:rPr>
        <w:sectPr w:rsidR="005F7974" w:rsidRPr="00667391" w:rsidSect="00562598">
          <w:headerReference w:type="default" r:id="rId8"/>
          <w:footerReference w:type="default" r:id="rId9"/>
          <w:pgSz w:w="12240" w:h="15840" w:code="1"/>
          <w:pgMar w:top="720" w:right="720" w:bottom="720" w:left="720" w:header="720" w:footer="720" w:gutter="0"/>
          <w:cols w:space="720"/>
          <w:docGrid w:linePitch="360"/>
        </w:sectPr>
      </w:pPr>
    </w:p>
    <w:p w:rsidR="00F10091" w:rsidRPr="00667391" w:rsidRDefault="00F10091" w:rsidP="00F10091">
      <w:pPr>
        <w:ind w:left="720"/>
        <w:jc w:val="both"/>
        <w:rPr>
          <w:bCs/>
          <w:sz w:val="22"/>
        </w:rPr>
      </w:pPr>
      <w:r w:rsidRPr="00667391">
        <w:rPr>
          <w:b/>
          <w:bCs/>
          <w:sz w:val="20"/>
        </w:rPr>
        <w:t>1.</w:t>
      </w:r>
      <w:r w:rsidRPr="00667391">
        <w:rPr>
          <w:b/>
          <w:bCs/>
          <w:sz w:val="20"/>
        </w:rPr>
        <w:tab/>
      </w:r>
      <w:r w:rsidRPr="00667391">
        <w:rPr>
          <w:bCs/>
          <w:sz w:val="22"/>
        </w:rPr>
        <w:t>Free and forced vortex flow</w:t>
      </w:r>
    </w:p>
    <w:p w:rsidR="00F10091" w:rsidRPr="00667391" w:rsidRDefault="00F10091" w:rsidP="00F10091">
      <w:pPr>
        <w:ind w:left="720"/>
        <w:jc w:val="both"/>
        <w:rPr>
          <w:bCs/>
          <w:sz w:val="22"/>
        </w:rPr>
      </w:pPr>
      <w:r w:rsidRPr="00667391">
        <w:rPr>
          <w:bCs/>
          <w:sz w:val="22"/>
        </w:rPr>
        <w:t>2.</w:t>
      </w:r>
      <w:r w:rsidRPr="00667391">
        <w:rPr>
          <w:bCs/>
          <w:sz w:val="22"/>
        </w:rPr>
        <w:tab/>
        <w:t>Reynold’s and laminar flow</w:t>
      </w:r>
    </w:p>
    <w:p w:rsidR="00F10091" w:rsidRPr="00667391" w:rsidRDefault="00F10091" w:rsidP="00F10091">
      <w:pPr>
        <w:ind w:left="720"/>
        <w:jc w:val="both"/>
        <w:rPr>
          <w:bCs/>
          <w:sz w:val="22"/>
        </w:rPr>
      </w:pPr>
      <w:r w:rsidRPr="00667391">
        <w:rPr>
          <w:bCs/>
          <w:sz w:val="22"/>
        </w:rPr>
        <w:t>3.</w:t>
      </w:r>
      <w:r w:rsidRPr="00667391">
        <w:rPr>
          <w:bCs/>
          <w:sz w:val="22"/>
        </w:rPr>
        <w:tab/>
        <w:t>Boundary layer flow</w:t>
      </w:r>
    </w:p>
    <w:p w:rsidR="00F10091" w:rsidRPr="00667391" w:rsidRDefault="00F10091" w:rsidP="00F10091">
      <w:pPr>
        <w:ind w:left="720"/>
        <w:jc w:val="both"/>
        <w:rPr>
          <w:bCs/>
          <w:sz w:val="22"/>
        </w:rPr>
      </w:pPr>
      <w:r w:rsidRPr="00667391">
        <w:rPr>
          <w:bCs/>
          <w:sz w:val="22"/>
        </w:rPr>
        <w:t>4.</w:t>
      </w:r>
      <w:r w:rsidRPr="00667391">
        <w:rPr>
          <w:bCs/>
          <w:sz w:val="22"/>
        </w:rPr>
        <w:tab/>
        <w:t>Nozzle performance test</w:t>
      </w:r>
    </w:p>
    <w:p w:rsidR="00F10091" w:rsidRPr="00667391" w:rsidRDefault="00F10091" w:rsidP="00F10091">
      <w:pPr>
        <w:ind w:left="720"/>
        <w:jc w:val="both"/>
        <w:rPr>
          <w:bCs/>
          <w:sz w:val="22"/>
        </w:rPr>
      </w:pPr>
      <w:r w:rsidRPr="00667391">
        <w:rPr>
          <w:bCs/>
          <w:sz w:val="22"/>
        </w:rPr>
        <w:t>5.</w:t>
      </w:r>
      <w:r w:rsidRPr="00667391">
        <w:rPr>
          <w:bCs/>
          <w:sz w:val="22"/>
        </w:rPr>
        <w:tab/>
        <w:t>Nozzle pressure distribution test</w:t>
      </w:r>
    </w:p>
    <w:p w:rsidR="005F7974" w:rsidRDefault="005F7974" w:rsidP="00F10091">
      <w:pPr>
        <w:ind w:left="720"/>
        <w:jc w:val="both"/>
        <w:rPr>
          <w:bCs/>
        </w:rPr>
        <w:sectPr w:rsidR="005F7974" w:rsidSect="005F7974">
          <w:type w:val="continuous"/>
          <w:pgSz w:w="12240" w:h="15840" w:code="1"/>
          <w:pgMar w:top="720" w:right="720" w:bottom="720" w:left="720" w:header="720" w:footer="720" w:gutter="0"/>
          <w:cols w:num="2" w:space="720"/>
          <w:docGrid w:linePitch="360"/>
        </w:sectPr>
      </w:pPr>
    </w:p>
    <w:p w:rsidR="00F10091" w:rsidRPr="001253AD" w:rsidRDefault="00F10091" w:rsidP="001253AD">
      <w:pPr>
        <w:spacing w:line="120" w:lineRule="auto"/>
      </w:pPr>
    </w:p>
    <w:p w:rsidR="00AD25E1" w:rsidRPr="00667391" w:rsidRDefault="00AD25E1" w:rsidP="00F10091">
      <w:pPr>
        <w:jc w:val="both"/>
        <w:rPr>
          <w:sz w:val="22"/>
        </w:rPr>
      </w:pPr>
      <w:r w:rsidRPr="00667391">
        <w:rPr>
          <w:b/>
          <w:bCs/>
          <w:sz w:val="22"/>
        </w:rPr>
        <w:t>Chamber Consultation Hour</w:t>
      </w:r>
      <w:r w:rsidRPr="00667391">
        <w:rPr>
          <w:bCs/>
          <w:sz w:val="22"/>
        </w:rPr>
        <w:t>:</w:t>
      </w:r>
      <w:r w:rsidR="00AF125F" w:rsidRPr="00667391">
        <w:rPr>
          <w:sz w:val="22"/>
        </w:rPr>
        <w:t xml:space="preserve"> </w:t>
      </w:r>
      <w:r w:rsidR="00CA27E1" w:rsidRPr="00667391">
        <w:rPr>
          <w:sz w:val="22"/>
        </w:rPr>
        <w:t>To be announced in the class</w:t>
      </w:r>
      <w:r w:rsidR="00E945B1" w:rsidRPr="00667391">
        <w:rPr>
          <w:sz w:val="22"/>
        </w:rPr>
        <w:t>.</w:t>
      </w:r>
    </w:p>
    <w:p w:rsidR="00AD25E1" w:rsidRPr="00667391" w:rsidRDefault="00AD25E1" w:rsidP="00F70B0A">
      <w:pPr>
        <w:spacing w:line="120" w:lineRule="auto"/>
        <w:rPr>
          <w:sz w:val="22"/>
        </w:rPr>
      </w:pPr>
    </w:p>
    <w:p w:rsidR="00AD25E1" w:rsidRPr="00667391" w:rsidRDefault="00AD25E1">
      <w:pPr>
        <w:jc w:val="both"/>
        <w:rPr>
          <w:sz w:val="22"/>
        </w:rPr>
      </w:pPr>
      <w:r w:rsidRPr="00667391">
        <w:rPr>
          <w:b/>
          <w:bCs/>
          <w:sz w:val="22"/>
        </w:rPr>
        <w:t>Notice</w:t>
      </w:r>
      <w:r w:rsidR="00A44798" w:rsidRPr="00667391">
        <w:rPr>
          <w:b/>
          <w:bCs/>
          <w:sz w:val="22"/>
        </w:rPr>
        <w:t>s</w:t>
      </w:r>
      <w:r w:rsidRPr="00667391">
        <w:rPr>
          <w:b/>
          <w:bCs/>
          <w:sz w:val="22"/>
        </w:rPr>
        <w:t>:</w:t>
      </w:r>
      <w:r w:rsidR="00A44798" w:rsidRPr="00667391">
        <w:rPr>
          <w:sz w:val="22"/>
        </w:rPr>
        <w:t xml:space="preserve"> </w:t>
      </w:r>
      <w:r w:rsidR="00CA27E1" w:rsidRPr="00667391">
        <w:rPr>
          <w:sz w:val="22"/>
        </w:rPr>
        <w:t xml:space="preserve">All notices concerning this course will be displayed in </w:t>
      </w:r>
      <w:r w:rsidR="00D41AE0" w:rsidRPr="00667391">
        <w:rPr>
          <w:i/>
          <w:sz w:val="22"/>
        </w:rPr>
        <w:t>CMS (institute’s web</w:t>
      </w:r>
      <w:r w:rsidR="00E945B1" w:rsidRPr="00667391">
        <w:rPr>
          <w:i/>
          <w:sz w:val="22"/>
        </w:rPr>
        <w:t>-</w:t>
      </w:r>
      <w:r w:rsidR="00D41AE0" w:rsidRPr="00667391">
        <w:rPr>
          <w:i/>
          <w:sz w:val="22"/>
        </w:rPr>
        <w:t>based Course Management System)</w:t>
      </w:r>
      <w:r w:rsidR="00D41AE0" w:rsidRPr="00667391">
        <w:rPr>
          <w:sz w:val="22"/>
        </w:rPr>
        <w:t>. S</w:t>
      </w:r>
      <w:r w:rsidR="00CA27E1" w:rsidRPr="00667391">
        <w:rPr>
          <w:sz w:val="22"/>
        </w:rPr>
        <w:t xml:space="preserve">tudents are advised to visit </w:t>
      </w:r>
      <w:r w:rsidR="00D41AE0" w:rsidRPr="00667391">
        <w:rPr>
          <w:i/>
          <w:sz w:val="22"/>
        </w:rPr>
        <w:t>CMS</w:t>
      </w:r>
      <w:r w:rsidR="00D41AE0" w:rsidRPr="00667391">
        <w:rPr>
          <w:sz w:val="22"/>
        </w:rPr>
        <w:t xml:space="preserve"> </w:t>
      </w:r>
      <w:r w:rsidR="00CA27E1" w:rsidRPr="00667391">
        <w:rPr>
          <w:sz w:val="22"/>
        </w:rPr>
        <w:t>regularly for all notices and updates</w:t>
      </w:r>
      <w:r w:rsidR="00D41AE0" w:rsidRPr="00667391">
        <w:rPr>
          <w:sz w:val="22"/>
        </w:rPr>
        <w:t>.</w:t>
      </w:r>
    </w:p>
    <w:p w:rsidR="00A44798" w:rsidRPr="00667391" w:rsidRDefault="00A44798" w:rsidP="00F70B0A">
      <w:pPr>
        <w:spacing w:line="120" w:lineRule="auto"/>
        <w:rPr>
          <w:sz w:val="22"/>
        </w:rPr>
      </w:pPr>
    </w:p>
    <w:p w:rsidR="00A44798" w:rsidRPr="00667391" w:rsidRDefault="00A44798">
      <w:pPr>
        <w:jc w:val="both"/>
        <w:rPr>
          <w:sz w:val="22"/>
        </w:rPr>
      </w:pPr>
      <w:r w:rsidRPr="00667391">
        <w:rPr>
          <w:b/>
          <w:sz w:val="22"/>
        </w:rPr>
        <w:t>Make-up Policy:</w:t>
      </w:r>
      <w:r w:rsidR="00CA27E1" w:rsidRPr="00667391">
        <w:rPr>
          <w:sz w:val="22"/>
        </w:rPr>
        <w:t xml:space="preserve"> Make-up request for tests shall be granted only for the </w:t>
      </w:r>
      <w:r w:rsidR="00CA27E1" w:rsidRPr="00667391">
        <w:rPr>
          <w:i/>
          <w:sz w:val="22"/>
        </w:rPr>
        <w:t>genuine</w:t>
      </w:r>
      <w:r w:rsidR="00CA27E1" w:rsidRPr="00667391">
        <w:rPr>
          <w:sz w:val="22"/>
        </w:rPr>
        <w:t xml:space="preserve"> case with sufficient evidence. Request letter duly signed by the student </w:t>
      </w:r>
      <w:r w:rsidR="0085505A" w:rsidRPr="00667391">
        <w:rPr>
          <w:sz w:val="22"/>
        </w:rPr>
        <w:t xml:space="preserve">must </w:t>
      </w:r>
      <w:r w:rsidR="00CA27E1" w:rsidRPr="00667391">
        <w:rPr>
          <w:sz w:val="22"/>
        </w:rPr>
        <w:t xml:space="preserve">reach the </w:t>
      </w:r>
      <w:r w:rsidR="0085505A" w:rsidRPr="00667391">
        <w:rPr>
          <w:sz w:val="22"/>
        </w:rPr>
        <w:t xml:space="preserve">undersigned </w:t>
      </w:r>
      <w:r w:rsidR="00CA27E1" w:rsidRPr="00667391">
        <w:rPr>
          <w:sz w:val="22"/>
        </w:rPr>
        <w:t>at least one day before the scheduled test.</w:t>
      </w:r>
    </w:p>
    <w:p w:rsidR="00EA3338" w:rsidRPr="00667391" w:rsidRDefault="00EA3338" w:rsidP="00EA3338">
      <w:pPr>
        <w:spacing w:line="120" w:lineRule="auto"/>
        <w:rPr>
          <w:sz w:val="22"/>
        </w:rPr>
      </w:pPr>
    </w:p>
    <w:p w:rsidR="00EA3338" w:rsidRPr="00667391" w:rsidRDefault="00EA3338">
      <w:pPr>
        <w:jc w:val="both"/>
        <w:rPr>
          <w:sz w:val="22"/>
        </w:rPr>
      </w:pPr>
      <w:r w:rsidRPr="00667391">
        <w:rPr>
          <w:b/>
          <w:sz w:val="22"/>
        </w:rPr>
        <w:t xml:space="preserve">Academic Integrity Policy: </w:t>
      </w:r>
      <w:r w:rsidRPr="00667391">
        <w:rPr>
          <w:sz w:val="22"/>
        </w:rPr>
        <w:t xml:space="preserve"> It is expected that in compliance with institute rules and regulations, academic integrity should be adhered to in all the evaluation components. No type of academic dishonesty is acceptable and malpractice in any form will have serious implications.</w:t>
      </w:r>
    </w:p>
    <w:p w:rsidR="006643C5" w:rsidRDefault="00AD25E1" w:rsidP="006643C5">
      <w:pPr>
        <w:jc w:val="right"/>
        <w:rPr>
          <w:b/>
          <w:bCs/>
        </w:rPr>
      </w:pPr>
      <w:r>
        <w:rPr>
          <w:b/>
          <w:bCs/>
        </w:rPr>
        <w:t xml:space="preserve"> </w:t>
      </w:r>
      <w:r w:rsidR="008005D9">
        <w:rPr>
          <w:b/>
          <w:bCs/>
        </w:rPr>
        <w:t>INSTRUCTOR-IN-CHARGE</w:t>
      </w:r>
      <w:r w:rsidR="006643C5">
        <w:rPr>
          <w:b/>
          <w:bCs/>
        </w:rPr>
        <w:t xml:space="preserve"> </w:t>
      </w:r>
      <w:r w:rsidR="00F10091">
        <w:rPr>
          <w:b/>
          <w:bCs/>
        </w:rPr>
        <w:t>(</w:t>
      </w:r>
      <w:r w:rsidR="00F10091" w:rsidRPr="00F10091">
        <w:rPr>
          <w:b/>
          <w:bCs/>
        </w:rPr>
        <w:t>ME G621</w:t>
      </w:r>
      <w:r w:rsidR="00F10091">
        <w:rPr>
          <w:b/>
          <w:bCs/>
        </w:rPr>
        <w:t>)</w:t>
      </w:r>
    </w:p>
    <w:sectPr w:rsidR="006643C5" w:rsidSect="005F7974">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9CA" w:rsidRDefault="00EC69CA" w:rsidP="00EB2F06">
      <w:r>
        <w:separator/>
      </w:r>
    </w:p>
  </w:endnote>
  <w:endnote w:type="continuationSeparator" w:id="0">
    <w:p w:rsidR="00EC69CA" w:rsidRDefault="00EC69C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170205"/>
      <w:docPartObj>
        <w:docPartGallery w:val="Page Numbers (Bottom of Page)"/>
        <w:docPartUnique/>
      </w:docPartObj>
    </w:sdtPr>
    <w:sdtEndPr>
      <w:rPr>
        <w:noProof/>
      </w:rPr>
    </w:sdtEndPr>
    <w:sdtContent>
      <w:p w:rsidR="004B3945" w:rsidRDefault="004B3945">
        <w:pPr>
          <w:pStyle w:val="Footer"/>
          <w:jc w:val="right"/>
        </w:pPr>
        <w:r>
          <w:t xml:space="preserve">Page </w:t>
        </w:r>
        <w:r>
          <w:fldChar w:fldCharType="begin"/>
        </w:r>
        <w:r>
          <w:instrText xml:space="preserve"> PAGE   \* MERGEFORMAT </w:instrText>
        </w:r>
        <w:r>
          <w:fldChar w:fldCharType="separate"/>
        </w:r>
        <w:r w:rsidR="005B05A8">
          <w:rPr>
            <w:noProof/>
          </w:rPr>
          <w:t>2</w:t>
        </w:r>
        <w:r>
          <w:rPr>
            <w:noProof/>
          </w:rPr>
          <w:fldChar w:fldCharType="end"/>
        </w:r>
      </w:p>
    </w:sdtContent>
  </w:sdt>
  <w:p w:rsidR="00DA1841" w:rsidRDefault="00DA1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9CA" w:rsidRDefault="00EC69CA" w:rsidP="00EB2F06">
      <w:r>
        <w:separator/>
      </w:r>
    </w:p>
  </w:footnote>
  <w:footnote w:type="continuationSeparator" w:id="0">
    <w:p w:rsidR="00EC69CA" w:rsidRDefault="00EC69CA"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yMjAzszQyAnKMTZV0lIJTi4sz8/NACgxrAbC84ugsAAAA"/>
  </w:docVars>
  <w:rsids>
    <w:rsidRoot w:val="00FB4DE4"/>
    <w:rsid w:val="00044B9B"/>
    <w:rsid w:val="00052293"/>
    <w:rsid w:val="00054928"/>
    <w:rsid w:val="00055BC8"/>
    <w:rsid w:val="00072EFE"/>
    <w:rsid w:val="000A4CE9"/>
    <w:rsid w:val="000D0C39"/>
    <w:rsid w:val="000E5C94"/>
    <w:rsid w:val="001253AD"/>
    <w:rsid w:val="00127C12"/>
    <w:rsid w:val="00153003"/>
    <w:rsid w:val="00156C2D"/>
    <w:rsid w:val="00167B88"/>
    <w:rsid w:val="002079FA"/>
    <w:rsid w:val="0021277E"/>
    <w:rsid w:val="00217EB9"/>
    <w:rsid w:val="00240A50"/>
    <w:rsid w:val="00251FD3"/>
    <w:rsid w:val="00256511"/>
    <w:rsid w:val="0028138D"/>
    <w:rsid w:val="0029648E"/>
    <w:rsid w:val="002A4E76"/>
    <w:rsid w:val="002B761E"/>
    <w:rsid w:val="002C25C9"/>
    <w:rsid w:val="002F1369"/>
    <w:rsid w:val="002F18D1"/>
    <w:rsid w:val="002F3895"/>
    <w:rsid w:val="00323327"/>
    <w:rsid w:val="00324E90"/>
    <w:rsid w:val="003535BA"/>
    <w:rsid w:val="003558C3"/>
    <w:rsid w:val="003928A4"/>
    <w:rsid w:val="003B0DAA"/>
    <w:rsid w:val="003D6BA8"/>
    <w:rsid w:val="003E731F"/>
    <w:rsid w:val="003F66A8"/>
    <w:rsid w:val="00426457"/>
    <w:rsid w:val="004571B3"/>
    <w:rsid w:val="004701F9"/>
    <w:rsid w:val="004718F7"/>
    <w:rsid w:val="00483626"/>
    <w:rsid w:val="004B3945"/>
    <w:rsid w:val="004F6D42"/>
    <w:rsid w:val="00507883"/>
    <w:rsid w:val="00507A43"/>
    <w:rsid w:val="0051535D"/>
    <w:rsid w:val="00523E0A"/>
    <w:rsid w:val="00553AFE"/>
    <w:rsid w:val="00562598"/>
    <w:rsid w:val="00562AB6"/>
    <w:rsid w:val="00576A69"/>
    <w:rsid w:val="00592784"/>
    <w:rsid w:val="005B05A8"/>
    <w:rsid w:val="005C5B22"/>
    <w:rsid w:val="005C6693"/>
    <w:rsid w:val="005F7974"/>
    <w:rsid w:val="00650244"/>
    <w:rsid w:val="006643C5"/>
    <w:rsid w:val="00667391"/>
    <w:rsid w:val="00670BDE"/>
    <w:rsid w:val="006C19EB"/>
    <w:rsid w:val="007074A3"/>
    <w:rsid w:val="00746E7D"/>
    <w:rsid w:val="007543E4"/>
    <w:rsid w:val="007562F5"/>
    <w:rsid w:val="007718DE"/>
    <w:rsid w:val="007B6831"/>
    <w:rsid w:val="007D58BE"/>
    <w:rsid w:val="007E402E"/>
    <w:rsid w:val="008005D9"/>
    <w:rsid w:val="00804572"/>
    <w:rsid w:val="008154A8"/>
    <w:rsid w:val="00831DD5"/>
    <w:rsid w:val="008359C5"/>
    <w:rsid w:val="0085505A"/>
    <w:rsid w:val="008642CE"/>
    <w:rsid w:val="00887FFA"/>
    <w:rsid w:val="00894C3B"/>
    <w:rsid w:val="008A2200"/>
    <w:rsid w:val="0097446D"/>
    <w:rsid w:val="0097488C"/>
    <w:rsid w:val="00983916"/>
    <w:rsid w:val="009B48FD"/>
    <w:rsid w:val="00A161AF"/>
    <w:rsid w:val="00A31483"/>
    <w:rsid w:val="00A44798"/>
    <w:rsid w:val="00A46B70"/>
    <w:rsid w:val="00AB2117"/>
    <w:rsid w:val="00AD25E1"/>
    <w:rsid w:val="00AF0EC6"/>
    <w:rsid w:val="00AF125F"/>
    <w:rsid w:val="00B23878"/>
    <w:rsid w:val="00B50584"/>
    <w:rsid w:val="00B55284"/>
    <w:rsid w:val="00B86684"/>
    <w:rsid w:val="00BA5137"/>
    <w:rsid w:val="00BA568D"/>
    <w:rsid w:val="00C24961"/>
    <w:rsid w:val="00C338D9"/>
    <w:rsid w:val="00C6663B"/>
    <w:rsid w:val="00CA27E1"/>
    <w:rsid w:val="00CA693E"/>
    <w:rsid w:val="00CC4D16"/>
    <w:rsid w:val="00CE0A17"/>
    <w:rsid w:val="00CF21AC"/>
    <w:rsid w:val="00D036CE"/>
    <w:rsid w:val="00D17D55"/>
    <w:rsid w:val="00D30623"/>
    <w:rsid w:val="00D41AE0"/>
    <w:rsid w:val="00D569CD"/>
    <w:rsid w:val="00DA1841"/>
    <w:rsid w:val="00DB7398"/>
    <w:rsid w:val="00DD7A77"/>
    <w:rsid w:val="00DE3D84"/>
    <w:rsid w:val="00E142BE"/>
    <w:rsid w:val="00E47261"/>
    <w:rsid w:val="00E61C30"/>
    <w:rsid w:val="00E754E7"/>
    <w:rsid w:val="00E945B1"/>
    <w:rsid w:val="00EA3338"/>
    <w:rsid w:val="00EB2F06"/>
    <w:rsid w:val="00EB7E1B"/>
    <w:rsid w:val="00EC69CA"/>
    <w:rsid w:val="00ED447B"/>
    <w:rsid w:val="00EE3FE3"/>
    <w:rsid w:val="00F10091"/>
    <w:rsid w:val="00F34A71"/>
    <w:rsid w:val="00F45E80"/>
    <w:rsid w:val="00F70B0A"/>
    <w:rsid w:val="00F74057"/>
    <w:rsid w:val="00F96F03"/>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BA63973-2F24-46D1-9E05-390F8145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basedOn w:val="DefaultParagraphFont"/>
    <w:link w:val="BodyTextIndent"/>
    <w:rsid w:val="00156C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10</cp:revision>
  <cp:lastPrinted>2017-07-24T04:15:00Z</cp:lastPrinted>
  <dcterms:created xsi:type="dcterms:W3CDTF">2019-07-20T10:38:00Z</dcterms:created>
  <dcterms:modified xsi:type="dcterms:W3CDTF">2019-07-23T05:37:00Z</dcterms:modified>
</cp:coreProperties>
</file>