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 w:rsidRPr="00157277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1073150</wp:posOffset>
            </wp:positionH>
            <wp:positionV relativeFrom="paragraph">
              <wp:posOffset>-228600</wp:posOffset>
            </wp:positionV>
            <wp:extent cx="4924425" cy="1019175"/>
            <wp:effectExtent l="0" t="0" r="9525" b="952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157277" w:rsidRDefault="00FF703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BIRLA INSTITUTE OF TECHNOLOGY &amp; SCIENCE, PILANI</w:t>
      </w:r>
    </w:p>
    <w:p w:rsidR="00C300B4" w:rsidRPr="00157277" w:rsidRDefault="00FF703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HYDERABAD CAMPUS</w:t>
      </w:r>
    </w:p>
    <w:p w:rsidR="00C300B4" w:rsidRPr="00157277" w:rsidRDefault="00C300B4">
      <w:pPr>
        <w:spacing w:line="5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157277" w:rsidRDefault="00DA05B9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</w:t>
      </w:r>
      <w:r w:rsidR="00FF7034" w:rsidRPr="00157277"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 201</w:t>
      </w:r>
      <w:r w:rsidR="00D20AA7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FF7034" w:rsidRPr="00157277">
        <w:rPr>
          <w:rFonts w:ascii="Times New Roman" w:eastAsia="Times New Roman" w:hAnsi="Times New Roman" w:cs="Times New Roman"/>
          <w:b/>
          <w:sz w:val="24"/>
          <w:szCs w:val="24"/>
        </w:rPr>
        <w:t>-20</w:t>
      </w:r>
      <w:r w:rsidR="00D20AA7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C300B4" w:rsidRPr="00157277" w:rsidRDefault="00FF7034">
      <w:pPr>
        <w:spacing w:line="235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Handout (Part -II)</w:t>
      </w:r>
    </w:p>
    <w:p w:rsidR="00C300B4" w:rsidRPr="00157277" w:rsidRDefault="00C300B4">
      <w:pPr>
        <w:spacing w:line="27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FF7034">
      <w:pPr>
        <w:ind w:left="8520" w:firstLine="120"/>
        <w:rPr>
          <w:rFonts w:ascii="Times New Roman" w:eastAsia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2652E9">
        <w:rPr>
          <w:rFonts w:ascii="Times New Roman" w:eastAsia="Times New Roman" w:hAnsi="Times New Roman" w:cs="Times New Roman"/>
          <w:sz w:val="24"/>
          <w:szCs w:val="24"/>
        </w:rPr>
        <w:t>0</w:t>
      </w:r>
      <w:r w:rsidR="00C6729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2652E9">
        <w:rPr>
          <w:rFonts w:ascii="Times New Roman" w:eastAsia="Times New Roman" w:hAnsi="Times New Roman" w:cs="Times New Roman"/>
          <w:sz w:val="24"/>
          <w:szCs w:val="24"/>
        </w:rPr>
        <w:t>0</w:t>
      </w:r>
      <w:r w:rsidR="00DA05B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DA05B9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C300B4" w:rsidRPr="00157277" w:rsidRDefault="00C300B4">
      <w:pPr>
        <w:spacing w:line="28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C300B4" w:rsidRPr="00157277" w:rsidRDefault="00FF7034">
      <w:pPr>
        <w:spacing w:line="215" w:lineRule="auto"/>
        <w:ind w:left="108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C300B4" w:rsidRPr="00157277" w:rsidRDefault="00C300B4">
      <w:pPr>
        <w:spacing w:line="237" w:lineRule="auto"/>
        <w:ind w:left="1170" w:hanging="90"/>
        <w:rPr>
          <w:rFonts w:ascii="Times New Roman" w:eastAsia="Times New Roman" w:hAnsi="Times New Roman" w:cs="Times New Roman"/>
          <w:sz w:val="24"/>
          <w:szCs w:val="24"/>
        </w:rPr>
      </w:pPr>
    </w:p>
    <w:p w:rsidR="00454367" w:rsidRPr="00D20AA7" w:rsidRDefault="00FF7034" w:rsidP="00D20A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080"/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</w:pPr>
      <w:r w:rsidRPr="00D20AA7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 xml:space="preserve">Course No. : </w:t>
      </w:r>
      <w:r w:rsidR="00D20AA7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ab/>
      </w:r>
      <w:r w:rsidRPr="00D20AA7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>CE G</w:t>
      </w:r>
      <w:r w:rsidR="00A71274" w:rsidRPr="00D20AA7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>562</w:t>
      </w:r>
    </w:p>
    <w:p w:rsidR="00454367" w:rsidRPr="00D20AA7" w:rsidRDefault="00FF7034" w:rsidP="00D20A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080"/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</w:pPr>
      <w:r w:rsidRPr="00D20AA7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 xml:space="preserve">Course Title: </w:t>
      </w:r>
      <w:r w:rsidR="00D20AA7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ab/>
      </w:r>
      <w:r w:rsidRPr="00D20AA7">
        <w:rPr>
          <w:rFonts w:ascii="Times New Roman" w:eastAsiaTheme="minorEastAsia" w:hAnsi="Times New Roman" w:cs="Times New Roman"/>
          <w:iCs/>
          <w:color w:val="auto"/>
          <w:sz w:val="24"/>
          <w:szCs w:val="24"/>
        </w:rPr>
        <w:t xml:space="preserve">Advanced </w:t>
      </w:r>
      <w:r w:rsidR="00A71274" w:rsidRPr="00D20AA7">
        <w:rPr>
          <w:rFonts w:ascii="Times New Roman" w:eastAsiaTheme="minorEastAsia" w:hAnsi="Times New Roman" w:cs="Times New Roman"/>
          <w:iCs/>
          <w:color w:val="auto"/>
          <w:sz w:val="24"/>
          <w:szCs w:val="24"/>
        </w:rPr>
        <w:t>Concrete Technology</w:t>
      </w:r>
    </w:p>
    <w:p w:rsidR="00C300B4" w:rsidRPr="00D20AA7" w:rsidRDefault="00FF7034" w:rsidP="00D20A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080"/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</w:pPr>
      <w:r w:rsidRPr="00D20AA7">
        <w:rPr>
          <w:rFonts w:ascii="Times New Roman" w:eastAsiaTheme="minorEastAsia" w:hAnsi="Times New Roman" w:cs="Times New Roman"/>
          <w:i/>
          <w:iCs/>
          <w:color w:val="auto"/>
          <w:sz w:val="24"/>
          <w:szCs w:val="24"/>
        </w:rPr>
        <w:t xml:space="preserve">Instructor-in-charge: </w:t>
      </w:r>
      <w:r w:rsidRPr="00D20AA7">
        <w:rPr>
          <w:rFonts w:ascii="Times New Roman" w:eastAsiaTheme="minorEastAsia" w:hAnsi="Times New Roman" w:cs="Times New Roman"/>
          <w:iCs/>
          <w:color w:val="auto"/>
          <w:sz w:val="24"/>
          <w:szCs w:val="24"/>
        </w:rPr>
        <w:t xml:space="preserve">Dr. </w:t>
      </w:r>
      <w:proofErr w:type="spellStart"/>
      <w:r w:rsidRPr="00D20AA7">
        <w:rPr>
          <w:rFonts w:ascii="Times New Roman" w:eastAsiaTheme="minorEastAsia" w:hAnsi="Times New Roman" w:cs="Times New Roman"/>
          <w:iCs/>
          <w:color w:val="auto"/>
          <w:sz w:val="24"/>
          <w:szCs w:val="24"/>
        </w:rPr>
        <w:t>ArkamitraKar</w:t>
      </w:r>
      <w:proofErr w:type="spellEnd"/>
    </w:p>
    <w:p w:rsidR="003D6381" w:rsidRDefault="0012613F" w:rsidP="007A1352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2613F" w:rsidRPr="0012613F" w:rsidRDefault="0012613F" w:rsidP="0012613F">
      <w:pPr>
        <w:spacing w:before="9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613F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bookmarkStart w:id="2" w:name="_GoBack"/>
      <w:bookmarkEnd w:id="2"/>
      <w:r w:rsidR="00086D67" w:rsidRPr="0012613F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12613F" w:rsidRPr="0012613F" w:rsidRDefault="0012613F" w:rsidP="0012613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20"/>
        <w:jc w:val="both"/>
        <w:rPr>
          <w:rFonts w:ascii="Times New Roman" w:eastAsia="Times New Roman" w:hAnsi="Times New Roman" w:cs="Times New Roman"/>
          <w:szCs w:val="24"/>
        </w:rPr>
      </w:pPr>
      <w:r w:rsidRPr="0012613F">
        <w:rPr>
          <w:rFonts w:ascii="Times New Roman" w:eastAsia="Times New Roman" w:hAnsi="Times New Roman" w:cs="Times New Roman"/>
          <w:szCs w:val="24"/>
        </w:rPr>
        <w:t>Components of concrete; chemical properties of cement &amp; cementitious paste; heat of hydration; microstructure of cementitious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12613F">
        <w:rPr>
          <w:rFonts w:ascii="Times New Roman" w:eastAsia="Times New Roman" w:hAnsi="Times New Roman" w:cs="Times New Roman"/>
          <w:szCs w:val="24"/>
        </w:rPr>
        <w:t xml:space="preserve">paste; properties of aggregates; chemistry of mineral </w:t>
      </w:r>
      <w:proofErr w:type="spellStart"/>
      <w:r w:rsidRPr="0012613F">
        <w:rPr>
          <w:rFonts w:ascii="Times New Roman" w:eastAsia="Times New Roman" w:hAnsi="Times New Roman" w:cs="Times New Roman"/>
          <w:szCs w:val="24"/>
        </w:rPr>
        <w:t>admixtures;chemistry</w:t>
      </w:r>
      <w:proofErr w:type="spellEnd"/>
      <w:r w:rsidRPr="0012613F">
        <w:rPr>
          <w:rFonts w:ascii="Times New Roman" w:eastAsia="Times New Roman" w:hAnsi="Times New Roman" w:cs="Times New Roman"/>
          <w:szCs w:val="24"/>
        </w:rPr>
        <w:t xml:space="preserve"> of chemical admixtures; characterization</w:t>
      </w:r>
      <w:r w:rsidRPr="0012613F">
        <w:rPr>
          <w:rFonts w:ascii="Times New Roman" w:eastAsia="Times New Roman" w:hAnsi="Times New Roman" w:cs="Times New Roman"/>
          <w:szCs w:val="24"/>
        </w:rPr>
        <w:t xml:space="preserve"> </w:t>
      </w:r>
      <w:r w:rsidRPr="0012613F">
        <w:rPr>
          <w:rFonts w:ascii="Times New Roman" w:eastAsia="Times New Roman" w:hAnsi="Times New Roman" w:cs="Times New Roman"/>
          <w:szCs w:val="24"/>
        </w:rPr>
        <w:t>of powdered and solid block concrete; effect of concrete composition on properties of fresh concrete; rheology of</w:t>
      </w:r>
      <w:r w:rsidRPr="0012613F">
        <w:rPr>
          <w:rFonts w:ascii="Times New Roman" w:eastAsia="Times New Roman" w:hAnsi="Times New Roman" w:cs="Times New Roman"/>
          <w:szCs w:val="24"/>
        </w:rPr>
        <w:t xml:space="preserve"> </w:t>
      </w:r>
      <w:r w:rsidRPr="0012613F">
        <w:rPr>
          <w:rFonts w:ascii="Times New Roman" w:eastAsia="Times New Roman" w:hAnsi="Times New Roman" w:cs="Times New Roman"/>
          <w:szCs w:val="24"/>
        </w:rPr>
        <w:t>concrete; effect of concrete composition on properties of hardened concrete; shrinkage and creep; correlation between</w:t>
      </w:r>
      <w:r w:rsidRPr="0012613F">
        <w:rPr>
          <w:rFonts w:ascii="Times New Roman" w:eastAsia="Times New Roman" w:hAnsi="Times New Roman" w:cs="Times New Roman"/>
          <w:szCs w:val="24"/>
        </w:rPr>
        <w:t xml:space="preserve"> </w:t>
      </w:r>
      <w:r w:rsidRPr="0012613F">
        <w:rPr>
          <w:rFonts w:ascii="Times New Roman" w:eastAsia="Times New Roman" w:hAnsi="Times New Roman" w:cs="Times New Roman"/>
          <w:szCs w:val="24"/>
        </w:rPr>
        <w:t>micro- and specimen level properties, interfacial transition zone (ITZ); durability of concrete; prediction of concrete service</w:t>
      </w:r>
      <w:r w:rsidRPr="0012613F">
        <w:rPr>
          <w:rFonts w:ascii="Times New Roman" w:eastAsia="Times New Roman" w:hAnsi="Times New Roman" w:cs="Times New Roman"/>
          <w:szCs w:val="24"/>
        </w:rPr>
        <w:t xml:space="preserve"> </w:t>
      </w:r>
      <w:r w:rsidRPr="0012613F">
        <w:rPr>
          <w:rFonts w:ascii="Times New Roman" w:eastAsia="Times New Roman" w:hAnsi="Times New Roman" w:cs="Times New Roman"/>
          <w:szCs w:val="24"/>
        </w:rPr>
        <w:t xml:space="preserve">life; techniques for </w:t>
      </w:r>
      <w:proofErr w:type="spellStart"/>
      <w:r w:rsidRPr="0012613F">
        <w:rPr>
          <w:rFonts w:ascii="Times New Roman" w:eastAsia="Times New Roman" w:hAnsi="Times New Roman" w:cs="Times New Roman"/>
          <w:szCs w:val="24"/>
        </w:rPr>
        <w:t>nondestructive</w:t>
      </w:r>
      <w:proofErr w:type="spellEnd"/>
      <w:r w:rsidRPr="0012613F">
        <w:rPr>
          <w:rFonts w:ascii="Times New Roman" w:eastAsia="Times New Roman" w:hAnsi="Times New Roman" w:cs="Times New Roman"/>
          <w:szCs w:val="24"/>
        </w:rPr>
        <w:t xml:space="preserve"> evaluations (NDE) of concrete; green concrete; concrete with alkali activated binders</w:t>
      </w:r>
      <w:r w:rsidRPr="0012613F">
        <w:rPr>
          <w:rFonts w:ascii="Times New Roman" w:eastAsia="Times New Roman" w:hAnsi="Times New Roman" w:cs="Times New Roman"/>
          <w:szCs w:val="24"/>
        </w:rPr>
        <w:t xml:space="preserve"> </w:t>
      </w:r>
      <w:r w:rsidRPr="0012613F">
        <w:rPr>
          <w:rFonts w:ascii="Times New Roman" w:eastAsia="Times New Roman" w:hAnsi="Times New Roman" w:cs="Times New Roman"/>
          <w:szCs w:val="24"/>
        </w:rPr>
        <w:t>(AAB); difference between alkali –activated binders and blended cements.</w:t>
      </w:r>
    </w:p>
    <w:p w:rsidR="00C300B4" w:rsidRPr="00157277" w:rsidRDefault="00C300B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55298C" w:rsidP="0012613F">
      <w:pPr>
        <w:numPr>
          <w:ilvl w:val="0"/>
          <w:numId w:val="2"/>
        </w:numPr>
        <w:tabs>
          <w:tab w:val="left" w:pos="1541"/>
        </w:tabs>
        <w:ind w:hanging="360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Scope and o</w:t>
      </w:r>
      <w:r w:rsidR="00FF7034" w:rsidRPr="00157277">
        <w:rPr>
          <w:rFonts w:ascii="Times New Roman" w:eastAsia="Times New Roman" w:hAnsi="Times New Roman" w:cs="Times New Roman"/>
          <w:sz w:val="24"/>
          <w:szCs w:val="24"/>
        </w:rPr>
        <w:t>bjectives of the course:</w:t>
      </w:r>
    </w:p>
    <w:p w:rsidR="00C300B4" w:rsidRPr="00157277" w:rsidRDefault="00C300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A4834" w:rsidRDefault="004A4834" w:rsidP="0055298C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4834"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F7034" w:rsidRPr="000E0A92">
        <w:rPr>
          <w:rFonts w:ascii="Times New Roman" w:eastAsia="Times New Roman" w:hAnsi="Times New Roman" w:cs="Times New Roman"/>
          <w:szCs w:val="24"/>
        </w:rPr>
        <w:t>This</w:t>
      </w:r>
      <w:proofErr w:type="spellEnd"/>
      <w:proofErr w:type="gramEnd"/>
      <w:r w:rsidR="00FF7034" w:rsidRPr="000E0A92">
        <w:rPr>
          <w:rFonts w:ascii="Times New Roman" w:eastAsia="Times New Roman" w:hAnsi="Times New Roman" w:cs="Times New Roman"/>
          <w:szCs w:val="24"/>
        </w:rPr>
        <w:t xml:space="preserve"> course aims to provide comprehensive scientific insight of concrete ingredients and their influence on hydration kinetics. </w:t>
      </w:r>
      <w:r w:rsidR="00EC3532">
        <w:rPr>
          <w:rFonts w:ascii="Times New Roman" w:eastAsia="Times New Roman" w:hAnsi="Times New Roman" w:cs="Times New Roman"/>
          <w:szCs w:val="24"/>
        </w:rPr>
        <w:t>This course explains the a</w:t>
      </w:r>
      <w:r w:rsidR="00EC3532" w:rsidRPr="000E0A92">
        <w:rPr>
          <w:rFonts w:ascii="Times New Roman" w:eastAsia="Times New Roman" w:hAnsi="Times New Roman" w:cs="Times New Roman"/>
          <w:szCs w:val="24"/>
        </w:rPr>
        <w:t xml:space="preserve">nalysis of chemical composition of different raw materials involved in cement manufacture and </w:t>
      </w:r>
      <w:r w:rsidR="00EC3532">
        <w:rPr>
          <w:rFonts w:ascii="Times New Roman" w:eastAsia="Times New Roman" w:hAnsi="Times New Roman" w:cs="Times New Roman"/>
          <w:szCs w:val="24"/>
        </w:rPr>
        <w:t xml:space="preserve">their influences on the mechanical and deformation characteristics of </w:t>
      </w:r>
      <w:r w:rsidR="00EC3532" w:rsidRPr="000E0A92">
        <w:rPr>
          <w:rFonts w:ascii="Times New Roman" w:eastAsia="Times New Roman" w:hAnsi="Times New Roman" w:cs="Times New Roman"/>
          <w:szCs w:val="24"/>
        </w:rPr>
        <w:t>structural concrete.</w:t>
      </w:r>
    </w:p>
    <w:p w:rsidR="004A4834" w:rsidRDefault="004A4834" w:rsidP="0055298C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4834" w:rsidRPr="004A4834" w:rsidRDefault="00250355" w:rsidP="0055298C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Outcomes</w:t>
      </w:r>
      <w:proofErr w:type="gramStart"/>
      <w:r w:rsidR="004A483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C3532" w:rsidRPr="000E0A92">
        <w:rPr>
          <w:rFonts w:ascii="Times New Roman" w:eastAsia="Times New Roman" w:hAnsi="Times New Roman" w:cs="Times New Roman"/>
          <w:szCs w:val="24"/>
        </w:rPr>
        <w:t>At</w:t>
      </w:r>
      <w:proofErr w:type="spellEnd"/>
      <w:proofErr w:type="gramEnd"/>
      <w:r w:rsidR="00EC3532" w:rsidRPr="000E0A92">
        <w:rPr>
          <w:rFonts w:ascii="Times New Roman" w:eastAsia="Times New Roman" w:hAnsi="Times New Roman" w:cs="Times New Roman"/>
          <w:szCs w:val="24"/>
        </w:rPr>
        <w:t xml:space="preserve"> the end of this course, the students will</w:t>
      </w:r>
      <w:r w:rsidR="00EC353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EC3532">
        <w:rPr>
          <w:rFonts w:ascii="Times New Roman" w:eastAsia="Times New Roman" w:hAnsi="Times New Roman" w:cs="Times New Roman"/>
          <w:szCs w:val="24"/>
        </w:rPr>
        <w:t>develop</w:t>
      </w:r>
      <w:r w:rsidR="007A1352">
        <w:rPr>
          <w:rFonts w:ascii="Times New Roman" w:eastAsia="Times New Roman" w:hAnsi="Times New Roman" w:cs="Times New Roman"/>
          <w:szCs w:val="24"/>
        </w:rPr>
        <w:t>an</w:t>
      </w:r>
      <w:proofErr w:type="spellEnd"/>
      <w:r w:rsidR="007A1352">
        <w:rPr>
          <w:rFonts w:ascii="Times New Roman" w:eastAsia="Times New Roman" w:hAnsi="Times New Roman" w:cs="Times New Roman"/>
          <w:szCs w:val="24"/>
        </w:rPr>
        <w:t xml:space="preserve"> ability to</w:t>
      </w:r>
      <w:r w:rsidR="00EC3532">
        <w:rPr>
          <w:rFonts w:ascii="Times New Roman" w:eastAsia="Times New Roman" w:hAnsi="Times New Roman" w:cs="Times New Roman"/>
          <w:szCs w:val="24"/>
        </w:rPr>
        <w:t>:</w:t>
      </w:r>
    </w:p>
    <w:p w:rsidR="004A4834" w:rsidRDefault="004A4834" w:rsidP="0055298C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532" w:rsidRDefault="007A1352" w:rsidP="00F11CE8">
      <w:pPr>
        <w:pStyle w:val="ListParagraph"/>
        <w:numPr>
          <w:ilvl w:val="0"/>
          <w:numId w:val="9"/>
        </w:numP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</w:t>
      </w:r>
      <w:r w:rsidR="00EC3532" w:rsidRPr="000E0A92">
        <w:rPr>
          <w:rFonts w:ascii="Times New Roman" w:eastAsia="Times New Roman" w:hAnsi="Times New Roman" w:cs="Times New Roman"/>
          <w:szCs w:val="24"/>
        </w:rPr>
        <w:t xml:space="preserve">pply the knowledge in modern construction practices. </w:t>
      </w:r>
    </w:p>
    <w:p w:rsidR="000E0A92" w:rsidRPr="000E0A92" w:rsidRDefault="007A1352" w:rsidP="00F11CE8">
      <w:pPr>
        <w:pStyle w:val="ListParagraph"/>
        <w:numPr>
          <w:ilvl w:val="0"/>
          <w:numId w:val="9"/>
        </w:numP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E</w:t>
      </w:r>
      <w:r w:rsidR="00EC3532">
        <w:rPr>
          <w:rFonts w:ascii="Times New Roman" w:eastAsia="Times New Roman" w:hAnsi="Times New Roman" w:cs="Times New Roman"/>
          <w:szCs w:val="24"/>
        </w:rPr>
        <w:t>valuate</w:t>
      </w:r>
      <w:r w:rsidR="00FF7034" w:rsidRPr="000E0A92">
        <w:rPr>
          <w:rFonts w:ascii="Times New Roman" w:eastAsia="Times New Roman" w:hAnsi="Times New Roman" w:cs="Times New Roman"/>
          <w:szCs w:val="24"/>
        </w:rPr>
        <w:t>fresh</w:t>
      </w:r>
      <w:proofErr w:type="spellEnd"/>
      <w:r w:rsidR="00FF7034" w:rsidRPr="000E0A92">
        <w:rPr>
          <w:rFonts w:ascii="Times New Roman" w:eastAsia="Times New Roman" w:hAnsi="Times New Roman" w:cs="Times New Roman"/>
          <w:szCs w:val="24"/>
        </w:rPr>
        <w:t xml:space="preserve"> and hardened properties of concrete</w:t>
      </w:r>
      <w:r w:rsidR="009A2B7D" w:rsidRPr="000E0A92">
        <w:rPr>
          <w:rFonts w:ascii="Times New Roman" w:eastAsia="Times New Roman" w:hAnsi="Times New Roman" w:cs="Times New Roman"/>
          <w:szCs w:val="24"/>
        </w:rPr>
        <w:t xml:space="preserve"> based on composition and ambience</w:t>
      </w:r>
      <w:r w:rsidR="00FF7034" w:rsidRPr="000E0A92">
        <w:rPr>
          <w:rFonts w:ascii="Times New Roman" w:eastAsia="Times New Roman" w:hAnsi="Times New Roman" w:cs="Times New Roman"/>
          <w:szCs w:val="24"/>
        </w:rPr>
        <w:t xml:space="preserve">. </w:t>
      </w:r>
    </w:p>
    <w:p w:rsidR="000E0A92" w:rsidRPr="000E0A92" w:rsidRDefault="007A1352" w:rsidP="00F11CE8">
      <w:pPr>
        <w:pStyle w:val="ListParagraph"/>
        <w:numPr>
          <w:ilvl w:val="0"/>
          <w:numId w:val="9"/>
        </w:numP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</w:t>
      </w:r>
      <w:r w:rsidR="00EC3532">
        <w:rPr>
          <w:rFonts w:ascii="Times New Roman" w:eastAsia="Times New Roman" w:hAnsi="Times New Roman" w:cs="Times New Roman"/>
          <w:szCs w:val="24"/>
        </w:rPr>
        <w:t xml:space="preserve">nvestigate and </w:t>
      </w:r>
      <w:proofErr w:type="spellStart"/>
      <w:r w:rsidR="00EC3532">
        <w:rPr>
          <w:rFonts w:ascii="Times New Roman" w:eastAsia="Times New Roman" w:hAnsi="Times New Roman" w:cs="Times New Roman"/>
          <w:szCs w:val="24"/>
        </w:rPr>
        <w:t>provide</w:t>
      </w:r>
      <w:r w:rsidR="000E0A92" w:rsidRPr="000E0A92">
        <w:rPr>
          <w:rFonts w:ascii="Times New Roman" w:eastAsia="Times New Roman" w:hAnsi="Times New Roman" w:cs="Times New Roman"/>
          <w:szCs w:val="24"/>
        </w:rPr>
        <w:t>engineering</w:t>
      </w:r>
      <w:proofErr w:type="spellEnd"/>
      <w:r w:rsidR="000E0A92" w:rsidRPr="000E0A92">
        <w:rPr>
          <w:rFonts w:ascii="Times New Roman" w:eastAsia="Times New Roman" w:hAnsi="Times New Roman" w:cs="Times New Roman"/>
          <w:szCs w:val="24"/>
        </w:rPr>
        <w:t xml:space="preserve"> </w:t>
      </w:r>
      <w:r w:rsidR="009A2B7D" w:rsidRPr="000E0A92">
        <w:rPr>
          <w:rFonts w:ascii="Times New Roman" w:eastAsia="Times New Roman" w:hAnsi="Times New Roman" w:cs="Times New Roman"/>
          <w:szCs w:val="24"/>
        </w:rPr>
        <w:t>solutions for the</w:t>
      </w:r>
      <w:r w:rsidR="00FF7034" w:rsidRPr="000E0A92">
        <w:rPr>
          <w:rFonts w:ascii="Times New Roman" w:eastAsia="Times New Roman" w:hAnsi="Times New Roman" w:cs="Times New Roman"/>
          <w:szCs w:val="24"/>
        </w:rPr>
        <w:t xml:space="preserve"> degradation of concrete </w:t>
      </w:r>
      <w:r w:rsidR="009A2B7D" w:rsidRPr="000E0A92">
        <w:rPr>
          <w:rFonts w:ascii="Times New Roman" w:eastAsia="Times New Roman" w:hAnsi="Times New Roman" w:cs="Times New Roman"/>
          <w:szCs w:val="24"/>
        </w:rPr>
        <w:t>in</w:t>
      </w:r>
      <w:r w:rsidR="00FF7034" w:rsidRPr="000E0A92">
        <w:rPr>
          <w:rFonts w:ascii="Times New Roman" w:eastAsia="Times New Roman" w:hAnsi="Times New Roman" w:cs="Times New Roman"/>
          <w:szCs w:val="24"/>
        </w:rPr>
        <w:t xml:space="preserve"> different exposure conditions. </w:t>
      </w:r>
    </w:p>
    <w:p w:rsidR="00C300B4" w:rsidRPr="000E0A92" w:rsidRDefault="007A1352" w:rsidP="00F11CE8">
      <w:pPr>
        <w:pStyle w:val="ListParagraph"/>
        <w:numPr>
          <w:ilvl w:val="0"/>
          <w:numId w:val="9"/>
        </w:numP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D</w:t>
      </w:r>
      <w:r w:rsidR="00EC3532">
        <w:rPr>
          <w:rFonts w:ascii="Times New Roman" w:eastAsia="Times New Roman" w:hAnsi="Times New Roman" w:cs="Times New Roman"/>
          <w:szCs w:val="24"/>
        </w:rPr>
        <w:t xml:space="preserve">esign </w:t>
      </w:r>
      <w:r w:rsidR="00250355">
        <w:rPr>
          <w:rFonts w:ascii="Times New Roman" w:eastAsia="Times New Roman" w:hAnsi="Times New Roman" w:cs="Times New Roman"/>
          <w:szCs w:val="24"/>
        </w:rPr>
        <w:t>mix proportions for different</w:t>
      </w:r>
      <w:r w:rsidR="000E0A92" w:rsidRPr="000E0A92">
        <w:rPr>
          <w:rFonts w:ascii="Times New Roman" w:eastAsia="Times New Roman" w:hAnsi="Times New Roman" w:cs="Times New Roman"/>
          <w:szCs w:val="24"/>
        </w:rPr>
        <w:t xml:space="preserve"> combinations </w:t>
      </w:r>
      <w:proofErr w:type="spellStart"/>
      <w:r w:rsidR="00250355">
        <w:rPr>
          <w:rFonts w:ascii="Times New Roman" w:eastAsia="Times New Roman" w:hAnsi="Times New Roman" w:cs="Times New Roman"/>
          <w:szCs w:val="24"/>
        </w:rPr>
        <w:t>of</w:t>
      </w:r>
      <w:r w:rsidR="000E0A92" w:rsidRPr="000E0A92">
        <w:rPr>
          <w:rFonts w:ascii="Times New Roman" w:eastAsia="Times New Roman" w:hAnsi="Times New Roman" w:cs="Times New Roman"/>
          <w:szCs w:val="24"/>
        </w:rPr>
        <w:t>portland</w:t>
      </w:r>
      <w:proofErr w:type="spellEnd"/>
      <w:r w:rsidR="000E0A92" w:rsidRPr="000E0A9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0E0A92" w:rsidRPr="000E0A92">
        <w:rPr>
          <w:rFonts w:ascii="Times New Roman" w:eastAsia="Times New Roman" w:hAnsi="Times New Roman" w:cs="Times New Roman"/>
          <w:szCs w:val="24"/>
        </w:rPr>
        <w:t>cement</w:t>
      </w:r>
      <w:r w:rsidR="00250355">
        <w:rPr>
          <w:rFonts w:ascii="Times New Roman" w:eastAsia="Times New Roman" w:hAnsi="Times New Roman" w:cs="Times New Roman"/>
          <w:szCs w:val="24"/>
        </w:rPr>
        <w:t>and</w:t>
      </w:r>
      <w:proofErr w:type="spellEnd"/>
      <w:r w:rsidR="00250355">
        <w:rPr>
          <w:rFonts w:ascii="Times New Roman" w:eastAsia="Times New Roman" w:hAnsi="Times New Roman" w:cs="Times New Roman"/>
          <w:szCs w:val="24"/>
        </w:rPr>
        <w:t xml:space="preserve"> also of alternative binders </w:t>
      </w:r>
      <w:r w:rsidR="00EC3532">
        <w:rPr>
          <w:rFonts w:ascii="Times New Roman" w:eastAsia="Times New Roman" w:hAnsi="Times New Roman" w:cs="Times New Roman"/>
          <w:szCs w:val="24"/>
        </w:rPr>
        <w:t>through the use of industrial wastes</w:t>
      </w:r>
      <w:r w:rsidR="00FF7034" w:rsidRPr="000E0A92">
        <w:rPr>
          <w:rFonts w:ascii="Times New Roman" w:eastAsia="Times New Roman" w:hAnsi="Times New Roman" w:cs="Times New Roman"/>
          <w:szCs w:val="24"/>
        </w:rPr>
        <w:t>.</w:t>
      </w:r>
    </w:p>
    <w:p w:rsidR="00C300B4" w:rsidRPr="00157277" w:rsidRDefault="00C300B4">
      <w:pPr>
        <w:spacing w:before="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54367" w:rsidRDefault="00D23474" w:rsidP="00D23474">
      <w:pPr>
        <w:spacing w:before="12"/>
        <w:ind w:left="117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23474">
        <w:rPr>
          <w:rFonts w:ascii="Times New Roman" w:eastAsia="Times New Roman" w:hAnsi="Times New Roman" w:cs="Times New Roman"/>
          <w:color w:val="auto"/>
          <w:sz w:val="24"/>
          <w:szCs w:val="24"/>
        </w:rPr>
        <w:t>Student Learning Outcomes (SLOs) assessed in this course –</w:t>
      </w:r>
      <w:r w:rsidRPr="00D2347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(a), (b), (c), (e), </w:t>
      </w:r>
      <w:r w:rsidR="00F11CE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(f), (g), (h), </w:t>
      </w:r>
      <w:r w:rsidRPr="00D2347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(j), </w:t>
      </w:r>
      <w:proofErr w:type="gramStart"/>
      <w:r w:rsidRPr="00D23474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gramEnd"/>
      <w:r w:rsidRPr="00D2347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(k).</w:t>
      </w:r>
    </w:p>
    <w:p w:rsidR="00250355" w:rsidRDefault="00250355" w:rsidP="00D23474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20AA7" w:rsidRDefault="00D20AA7" w:rsidP="00D23474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20AA7" w:rsidRDefault="00D20AA7" w:rsidP="00D23474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20AA7" w:rsidRDefault="00D20AA7" w:rsidP="00D23474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50355" w:rsidRPr="00157277" w:rsidRDefault="00250355" w:rsidP="00D23474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00B4" w:rsidRPr="00157277" w:rsidRDefault="00FF7034">
      <w:pPr>
        <w:numPr>
          <w:ilvl w:val="0"/>
          <w:numId w:val="2"/>
        </w:numPr>
        <w:tabs>
          <w:tab w:val="left" w:pos="1541"/>
        </w:tabs>
        <w:spacing w:before="56"/>
        <w:ind w:hanging="360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Textbook(s):</w:t>
      </w:r>
    </w:p>
    <w:p w:rsidR="00C300B4" w:rsidRPr="00157277" w:rsidRDefault="00C300B4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FF7034">
      <w:pPr>
        <w:pStyle w:val="Heading1"/>
        <w:spacing w:line="267" w:lineRule="auto"/>
        <w:ind w:left="1440" w:hanging="270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Text Book (TB)</w:t>
      </w:r>
    </w:p>
    <w:p w:rsidR="00C300B4" w:rsidRPr="00157277" w:rsidRDefault="00FF7034" w:rsidP="00454367">
      <w:pPr>
        <w:numPr>
          <w:ilvl w:val="1"/>
          <w:numId w:val="2"/>
        </w:numPr>
        <w:ind w:left="1440" w:right="4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Mehta, P. K., and Monteiro, P. J. M., “Concrete: Microstructure, Properties, and Materials”, 4th Ed., 2013, McGraw-Hill Education, USA.</w:t>
      </w:r>
    </w:p>
    <w:p w:rsidR="00C300B4" w:rsidRPr="00157277" w:rsidRDefault="00FF7034" w:rsidP="00454367">
      <w:pPr>
        <w:numPr>
          <w:ilvl w:val="1"/>
          <w:numId w:val="2"/>
        </w:numPr>
        <w:tabs>
          <w:tab w:val="left" w:pos="1910"/>
        </w:tabs>
        <w:spacing w:line="264" w:lineRule="auto"/>
        <w:ind w:left="1440" w:right="4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Neville, A.M, “</w:t>
      </w:r>
      <w:r w:rsidR="00C6729D">
        <w:rPr>
          <w:rFonts w:ascii="Times New Roman" w:eastAsia="Times New Roman" w:hAnsi="Times New Roman" w:cs="Times New Roman"/>
          <w:sz w:val="24"/>
          <w:szCs w:val="24"/>
        </w:rPr>
        <w:t>Concrete Technology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 w:rsidR="00C6729D">
        <w:rPr>
          <w:rFonts w:ascii="Times New Roman" w:eastAsia="Times New Roman" w:hAnsi="Times New Roman" w:cs="Times New Roman"/>
          <w:sz w:val="24"/>
          <w:szCs w:val="24"/>
        </w:rPr>
        <w:t>2010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, Addison Wesley Longman Limited, Harlow, UK.</w:t>
      </w:r>
    </w:p>
    <w:p w:rsidR="00C300B4" w:rsidRPr="00157277" w:rsidRDefault="00C300B4" w:rsidP="00454367">
      <w:pPr>
        <w:ind w:left="1440" w:right="49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FF7034" w:rsidP="00454367">
      <w:pPr>
        <w:pStyle w:val="Heading1"/>
        <w:spacing w:before="56"/>
        <w:ind w:left="1440" w:right="490" w:hanging="27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Reference Books (RB)</w:t>
      </w:r>
    </w:p>
    <w:p w:rsidR="00C300B4" w:rsidRPr="00157277" w:rsidRDefault="00FF7034" w:rsidP="00454367">
      <w:pPr>
        <w:numPr>
          <w:ilvl w:val="0"/>
          <w:numId w:val="1"/>
        </w:numPr>
        <w:tabs>
          <w:tab w:val="left" w:pos="1812"/>
        </w:tabs>
        <w:spacing w:before="29"/>
        <w:ind w:left="1440" w:right="4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Taylor, H. F. W., “Cement Chemistry”, 2</w:t>
      </w:r>
      <w:r w:rsidRPr="0015727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nd 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Ed., 1997, Thomas Telford Publishing, London, UK.</w:t>
      </w:r>
    </w:p>
    <w:p w:rsidR="00C300B4" w:rsidRPr="00157277" w:rsidRDefault="00FF7034" w:rsidP="00454367">
      <w:pPr>
        <w:numPr>
          <w:ilvl w:val="0"/>
          <w:numId w:val="1"/>
        </w:numPr>
        <w:ind w:left="1440" w:right="4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277">
        <w:rPr>
          <w:rFonts w:ascii="Times New Roman" w:eastAsia="Times New Roman" w:hAnsi="Times New Roman" w:cs="Times New Roman"/>
          <w:sz w:val="24"/>
          <w:szCs w:val="24"/>
        </w:rPr>
        <w:t>Mindess</w:t>
      </w:r>
      <w:proofErr w:type="spellEnd"/>
      <w:r w:rsidRPr="00157277">
        <w:rPr>
          <w:rFonts w:ascii="Times New Roman" w:eastAsia="Times New Roman" w:hAnsi="Times New Roman" w:cs="Times New Roman"/>
          <w:sz w:val="24"/>
          <w:szCs w:val="24"/>
        </w:rPr>
        <w:t>, S., Young, J. F., and Darwin, D., “Concrete”, Second Ed., 2002, Pearson Education, New Jersey, USA.</w:t>
      </w:r>
    </w:p>
    <w:p w:rsidR="00C300B4" w:rsidRPr="00157277" w:rsidRDefault="00FF7034" w:rsidP="00454367">
      <w:pPr>
        <w:numPr>
          <w:ilvl w:val="0"/>
          <w:numId w:val="1"/>
        </w:numPr>
        <w:tabs>
          <w:tab w:val="left" w:pos="1812"/>
        </w:tabs>
        <w:spacing w:line="238" w:lineRule="auto"/>
        <w:ind w:left="1440" w:right="4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 xml:space="preserve">Malhotra, V. M., and </w:t>
      </w:r>
      <w:proofErr w:type="spellStart"/>
      <w:r w:rsidRPr="00157277">
        <w:rPr>
          <w:rFonts w:ascii="Times New Roman" w:eastAsia="Times New Roman" w:hAnsi="Times New Roman" w:cs="Times New Roman"/>
          <w:sz w:val="24"/>
          <w:szCs w:val="24"/>
        </w:rPr>
        <w:t>Carino</w:t>
      </w:r>
      <w:proofErr w:type="spellEnd"/>
      <w:r w:rsidRPr="00157277">
        <w:rPr>
          <w:rFonts w:ascii="Times New Roman" w:eastAsia="Times New Roman" w:hAnsi="Times New Roman" w:cs="Times New Roman"/>
          <w:sz w:val="24"/>
          <w:szCs w:val="24"/>
        </w:rPr>
        <w:t>, N. J., “Handbook on Nondestructive Testing of Concrete”, Second Ed., 2004, CRC Press, ASTM International, PA, USA.</w:t>
      </w:r>
    </w:p>
    <w:p w:rsidR="00C300B4" w:rsidRPr="00157277" w:rsidRDefault="00FF7034" w:rsidP="00454367">
      <w:pPr>
        <w:numPr>
          <w:ilvl w:val="0"/>
          <w:numId w:val="1"/>
        </w:numPr>
        <w:tabs>
          <w:tab w:val="left" w:pos="1812"/>
        </w:tabs>
        <w:spacing w:line="268" w:lineRule="auto"/>
        <w:ind w:left="1440" w:right="4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277">
        <w:rPr>
          <w:rFonts w:ascii="Times New Roman" w:eastAsia="Times New Roman" w:hAnsi="Times New Roman" w:cs="Times New Roman"/>
          <w:sz w:val="24"/>
          <w:szCs w:val="24"/>
        </w:rPr>
        <w:t>Provis</w:t>
      </w:r>
      <w:proofErr w:type="spellEnd"/>
      <w:r w:rsidRPr="00157277">
        <w:rPr>
          <w:rFonts w:ascii="Times New Roman" w:eastAsia="Times New Roman" w:hAnsi="Times New Roman" w:cs="Times New Roman"/>
          <w:sz w:val="24"/>
          <w:szCs w:val="24"/>
        </w:rPr>
        <w:t>, J. L., and van Deventer, J. S. J., “</w:t>
      </w:r>
      <w:proofErr w:type="spellStart"/>
      <w:r w:rsidRPr="00157277">
        <w:rPr>
          <w:rFonts w:ascii="Times New Roman" w:eastAsia="Times New Roman" w:hAnsi="Times New Roman" w:cs="Times New Roman"/>
          <w:sz w:val="24"/>
          <w:szCs w:val="24"/>
        </w:rPr>
        <w:t>Geopolymers</w:t>
      </w:r>
      <w:proofErr w:type="spellEnd"/>
      <w:r w:rsidRPr="00157277">
        <w:rPr>
          <w:rFonts w:ascii="Times New Roman" w:eastAsia="Times New Roman" w:hAnsi="Times New Roman" w:cs="Times New Roman"/>
          <w:sz w:val="24"/>
          <w:szCs w:val="24"/>
        </w:rPr>
        <w:t>: Structures, Processing, Properties and Industrial Applications”, 2009, 1</w:t>
      </w:r>
      <w:r w:rsidRPr="0015727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st 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Ed., Woodhead Publishing, Cambridge, UK.</w:t>
      </w:r>
    </w:p>
    <w:p w:rsidR="00C300B4" w:rsidRPr="00157277" w:rsidRDefault="00FF7034" w:rsidP="00454367">
      <w:pPr>
        <w:numPr>
          <w:ilvl w:val="0"/>
          <w:numId w:val="1"/>
        </w:numPr>
        <w:tabs>
          <w:tab w:val="left" w:pos="1812"/>
        </w:tabs>
        <w:ind w:left="1440" w:right="4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ASTM Standards, ACI Codes, IS Codes as necessar</w:t>
      </w:r>
      <w:r w:rsidR="00454367" w:rsidRPr="00157277">
        <w:rPr>
          <w:rFonts w:ascii="Times New Roman" w:eastAsia="Times New Roman" w:hAnsi="Times New Roman" w:cs="Times New Roman"/>
          <w:sz w:val="24"/>
          <w:szCs w:val="24"/>
        </w:rPr>
        <w:t>y, and as referred in TB and RB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0B4" w:rsidRPr="00157277" w:rsidRDefault="00FF7034" w:rsidP="00454367">
      <w:pPr>
        <w:numPr>
          <w:ilvl w:val="0"/>
          <w:numId w:val="1"/>
        </w:numPr>
        <w:tabs>
          <w:tab w:val="left" w:pos="1812"/>
          <w:tab w:val="left" w:pos="8772"/>
        </w:tabs>
        <w:ind w:left="1440" w:right="49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277">
        <w:rPr>
          <w:rFonts w:ascii="Times New Roman" w:eastAsia="Times New Roman" w:hAnsi="Times New Roman" w:cs="Times New Roman"/>
          <w:sz w:val="24"/>
          <w:szCs w:val="24"/>
        </w:rPr>
        <w:t>Kett</w:t>
      </w:r>
      <w:proofErr w:type="spellEnd"/>
      <w:r w:rsidRPr="00157277">
        <w:rPr>
          <w:rFonts w:ascii="Times New Roman" w:eastAsia="Times New Roman" w:hAnsi="Times New Roman" w:cs="Times New Roman"/>
          <w:sz w:val="24"/>
          <w:szCs w:val="24"/>
        </w:rPr>
        <w:t>,  I.,  “Engineered  Concrete:  Mix  Design  and  Test  Methods”,     2</w:t>
      </w:r>
      <w:r w:rsidRPr="0015727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nd   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Ed.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ab/>
        <w:t>2010,  CRC  Press, T &amp; F, FL, USA.</w:t>
      </w:r>
    </w:p>
    <w:p w:rsidR="00C300B4" w:rsidRPr="00157277" w:rsidRDefault="00FF7034" w:rsidP="00454367">
      <w:pPr>
        <w:numPr>
          <w:ilvl w:val="0"/>
          <w:numId w:val="1"/>
        </w:numPr>
        <w:tabs>
          <w:tab w:val="left" w:pos="1812"/>
        </w:tabs>
        <w:ind w:left="1440" w:right="4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Newman, J. and Choo, B.S., “Advanced Concrete Technology”, Vol. 1 - 4, 2003, Butterworth – Heinemann (ELSEVIER), MA, USA.</w:t>
      </w:r>
    </w:p>
    <w:p w:rsidR="00C300B4" w:rsidRPr="00157277" w:rsidRDefault="00C300B4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00B4" w:rsidRPr="00157277" w:rsidRDefault="00C300B4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00B4" w:rsidRPr="00157277" w:rsidRDefault="00C300B4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</w:rPr>
      </w:pPr>
    </w:p>
    <w:p w:rsidR="00C300B4" w:rsidRPr="00157277" w:rsidRDefault="00C300B4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</w:rPr>
      </w:pPr>
    </w:p>
    <w:p w:rsidR="00C300B4" w:rsidRPr="00157277" w:rsidRDefault="00FF7034">
      <w:pPr>
        <w:spacing w:line="276" w:lineRule="auto"/>
        <w:rPr>
          <w:rFonts w:ascii="Times New Roman" w:eastAsia="Times New Roman" w:hAnsi="Times New Roman" w:cs="Times New Roman"/>
          <w:color w:val="FF0000"/>
        </w:rPr>
        <w:sectPr w:rsidR="00C300B4" w:rsidRPr="00157277">
          <w:headerReference w:type="default" r:id="rId8"/>
          <w:footerReference w:type="default" r:id="rId9"/>
          <w:pgSz w:w="12240" w:h="15840"/>
          <w:pgMar w:top="1800" w:right="1160" w:bottom="280" w:left="620" w:header="0" w:footer="720" w:gutter="0"/>
          <w:pgNumType w:start="1"/>
          <w:cols w:space="720"/>
        </w:sectPr>
      </w:pPr>
      <w:r w:rsidRPr="00157277">
        <w:rPr>
          <w:rFonts w:ascii="Times New Roman" w:hAnsi="Times New Roman" w:cs="Times New Roman"/>
        </w:rPr>
        <w:br w:type="page"/>
      </w:r>
    </w:p>
    <w:p w:rsidR="00C300B4" w:rsidRPr="00157277" w:rsidRDefault="00454367">
      <w:pPr>
        <w:pStyle w:val="Heading1"/>
        <w:ind w:left="820"/>
        <w:rPr>
          <w:rFonts w:ascii="Times New Roman" w:eastAsia="Times New Roman" w:hAnsi="Times New Roman" w:cs="Times New Roman"/>
          <w:b w:val="0"/>
        </w:rPr>
      </w:pPr>
      <w:r w:rsidRPr="00157277">
        <w:rPr>
          <w:rFonts w:ascii="Times New Roman" w:eastAsia="Times New Roman" w:hAnsi="Times New Roman" w:cs="Times New Roman"/>
        </w:rPr>
        <w:lastRenderedPageBreak/>
        <w:t>Lecture wise</w:t>
      </w:r>
      <w:r w:rsidR="00FF7034" w:rsidRPr="00157277">
        <w:rPr>
          <w:rFonts w:ascii="Times New Roman" w:eastAsia="Times New Roman" w:hAnsi="Times New Roman" w:cs="Times New Roman"/>
        </w:rPr>
        <w:t xml:space="preserve"> Course Plan</w:t>
      </w:r>
    </w:p>
    <w:p w:rsidR="00C300B4" w:rsidRPr="00157277" w:rsidRDefault="00C300B4">
      <w:pPr>
        <w:spacing w:before="10"/>
        <w:rPr>
          <w:rFonts w:ascii="Times New Roman" w:eastAsia="Times New Roman" w:hAnsi="Times New Roman" w:cs="Times New Roman"/>
          <w:b/>
          <w:sz w:val="19"/>
          <w:szCs w:val="19"/>
        </w:rPr>
      </w:pPr>
    </w:p>
    <w:tbl>
      <w:tblPr>
        <w:tblStyle w:val="a"/>
        <w:tblW w:w="10540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950"/>
        <w:gridCol w:w="950"/>
        <w:gridCol w:w="1620"/>
        <w:gridCol w:w="4590"/>
        <w:gridCol w:w="1170"/>
        <w:gridCol w:w="1260"/>
      </w:tblGrid>
      <w:tr w:rsidR="00A91D2E" w:rsidRPr="00157277" w:rsidTr="00A91D2E">
        <w:trPr>
          <w:trHeight w:val="642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80" w:right="188" w:firstLine="1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80" w:right="188" w:firstLine="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. </w:t>
            </w:r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F11CE8">
            <w:pPr>
              <w:spacing w:before="131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Topics Covered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131"/>
              <w:ind w:left="161" w:right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Learning Objective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34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Reference to TB, RB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D23474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SLO*</w:t>
            </w:r>
          </w:p>
        </w:tc>
      </w:tr>
      <w:tr w:rsidR="00A91D2E" w:rsidRPr="00157277" w:rsidTr="00A91D2E">
        <w:trPr>
          <w:trHeight w:val="2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A91D2E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1D2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spacing w:before="8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1-7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spacing w:before="3"/>
              <w:ind w:left="180" w:right="13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Components of Concrete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Chemical Properties of Cement &amp; Cementitious</w:t>
            </w:r>
          </w:p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paste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3F5DC8">
            <w:pPr>
              <w:spacing w:before="3"/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constituents, history, advantages, limitations and applications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cement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Study the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raw materials, manufacturing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processes, c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omposition and types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portland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cement; Study the hydration reactions,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C-S-H </w:t>
            </w: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models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,h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eat</w:t>
            </w:r>
            <w:proofErr w:type="spellEnd"/>
            <w:proofErr w:type="gram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hyd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ration and relevant experiments on cement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paste and mortar;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Study the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microstructure of cementitious paste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microanalysis techniques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compute relevant volume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stoichiometries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Enumerate the differences between classical and modern approaches.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spacing w:before="12"/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– 4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(TB 1),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1),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1, 3, 4, 5,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7 (RB 1);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– 4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(RB 2)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231AB8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(k)</w:t>
            </w:r>
          </w:p>
        </w:tc>
      </w:tr>
      <w:tr w:rsidR="00A91D2E" w:rsidRPr="00157277" w:rsidTr="008547F5">
        <w:trPr>
          <w:trHeight w:val="1163"/>
        </w:trPr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1D2E" w:rsidRPr="00A91D2E" w:rsidRDefault="00A91D2E" w:rsidP="00EF655D">
            <w:pPr>
              <w:spacing w:before="5"/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1D2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spacing w:before="5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Components of Concrete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A91D2E" w:rsidRPr="00157277" w:rsidRDefault="00A91D2E" w:rsidP="00EF655D">
            <w:pPr>
              <w:spacing w:before="1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Properties of Aggregates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C13BC2">
            <w:pPr>
              <w:ind w:left="131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 s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ources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ineralogical composition of aggregates;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techniques to determine aggregate properties.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 concepts of h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igh performance concrete using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different types of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aggregate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spacing w:before="5"/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ind w:left="18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231AB8">
            <w:pPr>
              <w:spacing w:before="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</w:t>
            </w:r>
          </w:p>
        </w:tc>
      </w:tr>
      <w:tr w:rsidR="00A91D2E" w:rsidRPr="00157277" w:rsidTr="008547F5">
        <w:trPr>
          <w:trHeight w:val="1253"/>
        </w:trPr>
        <w:tc>
          <w:tcPr>
            <w:tcW w:w="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9 –10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6"/>
              <w:ind w:left="180" w:right="13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Chemistry of Admixtures: Mineral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C13BC2">
            <w:pPr>
              <w:spacing w:before="5"/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s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upplementary cementitious materials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(SCM)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pozzolans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(Artificial and natural)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their influences on the volume stoichiometry of hydration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reactions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through numerical problems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study the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difference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between </w:t>
            </w: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pozzolanic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hydraulic SCM;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 i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nfluence of SCMs on fresh and hardened properties of blended concrete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how to apply them in different field conditions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spacing w:before="5"/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(TB 1),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(RB 1)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C13BC2">
            <w:pPr>
              <w:spacing w:before="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(c), (g)</w:t>
            </w:r>
          </w:p>
        </w:tc>
      </w:tr>
      <w:tr w:rsidR="00A91D2E" w:rsidRPr="00157277" w:rsidTr="008547F5">
        <w:trPr>
          <w:trHeight w:val="1434"/>
        </w:trPr>
        <w:tc>
          <w:tcPr>
            <w:tcW w:w="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12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spacing w:before="12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697A18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130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Chemistry of Admixtures: Chemical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 different t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ypes of chemical admixtures;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Study their reaction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echanism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effect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chemical admixtures on concrete characteristics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 compare ancient construction practices with modern ones; determine the type of admixture for practical uses based on environmental, economic, and service requirements.</w:t>
            </w:r>
          </w:p>
          <w:p w:rsidR="00A91D2E" w:rsidRPr="00157277" w:rsidRDefault="00A91D2E" w:rsidP="00EF655D">
            <w:pPr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spacing w:before="12"/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697A18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(c)</w:t>
            </w:r>
          </w:p>
        </w:tc>
      </w:tr>
      <w:tr w:rsidR="00A91D2E" w:rsidRPr="00157277" w:rsidTr="00E149F8">
        <w:trPr>
          <w:trHeight w:val="1434"/>
        </w:trPr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12"/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spacing w:before="12"/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12 - 16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130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Characteriz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ation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concrete – powdered and solid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697A18">
            <w:pPr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mineralogical, microstructural, elemental, and thermogravimetric techniques and working principles; analyze respective outputs. Evaluate the relative efficiency of modern techniques over classical ones based on accuracy of output.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spacing w:before="12"/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(RB 1)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C13BC2" w:rsidRDefault="00A91D2E" w:rsidP="0055298C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(a), </w:t>
            </w:r>
            <w:r w:rsidRPr="00C13B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(b), (k)</w:t>
            </w:r>
          </w:p>
        </w:tc>
      </w:tr>
      <w:tr w:rsidR="00A91D2E" w:rsidRPr="00157277" w:rsidTr="00E149F8">
        <w:trPr>
          <w:trHeight w:val="983"/>
        </w:trPr>
        <w:tc>
          <w:tcPr>
            <w:tcW w:w="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7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spacing w:before="7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17 - 21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5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Effect of concrete composition on Properties of Fresh Concrete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F11CE8">
            <w:pPr>
              <w:spacing w:before="5"/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 e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ffect of concrete composition and curing on workability,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setting times, segregation,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bleeding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and rheology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fresh concrete.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Determine and recommend engineering solutions based on ambient conditions, while adhering to a professional and ethical code.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spacing w:before="126"/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697A18" w:rsidRDefault="00A91D2E">
            <w:pPr>
              <w:spacing w:before="126"/>
              <w:ind w:left="110" w:right="11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7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(c)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(g), (h)</w:t>
            </w:r>
          </w:p>
        </w:tc>
      </w:tr>
    </w:tbl>
    <w:p w:rsidR="00E52CB7" w:rsidRDefault="00E52CB7">
      <w:r>
        <w:br w:type="page"/>
      </w:r>
    </w:p>
    <w:tbl>
      <w:tblPr>
        <w:tblStyle w:val="a"/>
        <w:tblW w:w="10540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950"/>
        <w:gridCol w:w="950"/>
        <w:gridCol w:w="1620"/>
        <w:gridCol w:w="4590"/>
        <w:gridCol w:w="1080"/>
        <w:gridCol w:w="1350"/>
      </w:tblGrid>
      <w:tr w:rsidR="00A91D2E" w:rsidRPr="00157277" w:rsidTr="00BE6303">
        <w:trPr>
          <w:trHeight w:val="983"/>
        </w:trPr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1D2E" w:rsidRPr="00A91D2E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1D2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spacing w:before="10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22-26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Effect of concrete composition on Properties of Hardened Concrete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362FD3">
            <w:pPr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 p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hysical, chem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 and engineering properties of hardened concrete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study the serviceability and deformation parameters; compute the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correlation between micro- and specimen level properties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analyse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i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nterfacial transition zone (ITZ)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concrete.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spacing w:before="10"/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4, 13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362FD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</w:t>
            </w:r>
          </w:p>
        </w:tc>
      </w:tr>
      <w:tr w:rsidR="00A91D2E" w:rsidRPr="00157277" w:rsidTr="00BE6303">
        <w:trPr>
          <w:trHeight w:val="1434"/>
        </w:trPr>
        <w:tc>
          <w:tcPr>
            <w:tcW w:w="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10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spacing w:before="10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27-31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131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Durability of concrete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362FD3">
            <w:pPr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 f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actors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ffecting durability of concrete – environmental, physical, and chemical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 d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urability test methods;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investigate and analyze different models for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service life prediction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concrete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spacing w:before="9"/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362FD3">
            <w:pPr>
              <w:spacing w:before="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</w:t>
            </w:r>
          </w:p>
        </w:tc>
      </w:tr>
      <w:tr w:rsidR="00A91D2E" w:rsidRPr="00157277" w:rsidTr="00BE6303">
        <w:trPr>
          <w:trHeight w:val="800"/>
        </w:trPr>
        <w:tc>
          <w:tcPr>
            <w:tcW w:w="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32-34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5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Techniques for Nondestructive Evaluations (NDE) of Concrete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C57D58">
            <w:pPr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Study the different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techniques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concrete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classical and modern; determine the suitability and applicability for each technique based on locational and economic constraints.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spacing w:before="5"/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1), RB 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C13BC2">
            <w:pPr>
              <w:spacing w:before="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(c), (k)</w:t>
            </w:r>
          </w:p>
        </w:tc>
      </w:tr>
      <w:tr w:rsidR="00A91D2E" w:rsidRPr="00157277" w:rsidTr="000C1D90">
        <w:trPr>
          <w:trHeight w:val="983"/>
        </w:trPr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1D2E" w:rsidRPr="00A91D2E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1D2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35 - 37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spacing w:before="7"/>
              <w:ind w:left="180" w:right="13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Special Concrete and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Green Concrete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C57D58">
            <w:pPr>
              <w:spacing w:before="5"/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various mix proportions of raw materials for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green concrete using additives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etakaolin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rice husk ash, sugarcane bagasse ash, </w:t>
            </w: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microsilica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alccofines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Compare with the manufacturing process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portland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cement; develop the groundwork for coming up with ethical guidelines to train field workers; concrete containing 3-D printed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rebars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spacing w:before="129"/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1),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(RB 1),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RB 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362FD3" w:rsidRDefault="00A91D2E">
            <w:pPr>
              <w:spacing w:before="129"/>
              <w:ind w:left="110"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(b), </w:t>
            </w:r>
            <w:r w:rsidRPr="00362FD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(c),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(f), (g), (h), </w:t>
            </w:r>
            <w:r w:rsidRPr="00362FD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(j)</w:t>
            </w:r>
          </w:p>
        </w:tc>
      </w:tr>
      <w:tr w:rsidR="00A91D2E" w:rsidRPr="00157277" w:rsidTr="000C1D90">
        <w:trPr>
          <w:trHeight w:val="1424"/>
        </w:trPr>
        <w:tc>
          <w:tcPr>
            <w:tcW w:w="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250355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38 - 4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EF655D">
            <w:pPr>
              <w:spacing w:before="6"/>
              <w:ind w:left="180" w:right="13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EF655D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Concrete with Alkali Activated Binder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F11CE8">
            <w:pPr>
              <w:spacing w:before="5"/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 modern developments in the field of c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oncrete with alkali-activated fly ash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and/or slag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binder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study the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chemistry of alkali-activated binders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compute the volume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stoichimoteries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 e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numerate the difference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between alkali – activated binders and blended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ements; design optimum mix proportions based on locational and ethical restraints; analyze the potential for practical use of this binder over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portland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cement.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B52230">
            <w:pPr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spacing w:before="5"/>
              <w:ind w:left="180" w:righ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91D2E" w:rsidRPr="00157277" w:rsidRDefault="00A91D2E" w:rsidP="00B52230">
            <w:pPr>
              <w:ind w:left="18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– 6</w:t>
            </w:r>
          </w:p>
          <w:p w:rsidR="00A91D2E" w:rsidRPr="00157277" w:rsidRDefault="00A91D2E" w:rsidP="00B52230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(RB 4)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D2E" w:rsidRPr="00157277" w:rsidRDefault="00A91D2E" w:rsidP="00C13BC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(b), (c), (e), (f), (g), (h), (j), (k)</w:t>
            </w:r>
          </w:p>
        </w:tc>
      </w:tr>
    </w:tbl>
    <w:p w:rsidR="00C300B4" w:rsidRDefault="00C300B4" w:rsidP="00454367">
      <w:pPr>
        <w:spacing w:before="6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72921" w:rsidRDefault="00072921" w:rsidP="00454367">
      <w:pPr>
        <w:spacing w:before="6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*Student Learning Outcomes</w:t>
      </w:r>
      <w:r w:rsidR="00231AB8">
        <w:rPr>
          <w:rFonts w:ascii="Times New Roman" w:eastAsia="Times New Roman" w:hAnsi="Times New Roman" w:cs="Times New Roman"/>
          <w:b/>
          <w:sz w:val="20"/>
          <w:szCs w:val="20"/>
        </w:rPr>
        <w:t xml:space="preserve"> (SLOs)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072921" w:rsidRPr="00157277" w:rsidRDefault="00072921" w:rsidP="00454367">
      <w:pPr>
        <w:spacing w:before="6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31AB8" w:rsidRDefault="00231AB8" w:rsidP="00231A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SLOs</w:t>
      </w:r>
      <w:r w:rsidRPr="00231AB8">
        <w:rPr>
          <w:rFonts w:ascii="Times New Roman" w:eastAsia="Times New Roman" w:hAnsi="Times New Roman" w:cs="Times New Roman"/>
          <w:sz w:val="20"/>
          <w:szCs w:val="20"/>
        </w:rPr>
        <w:t xml:space="preserve"> are outcomes (a) through (k) plus any additional outcomes that may be articulated by the program.</w:t>
      </w:r>
    </w:p>
    <w:p w:rsidR="00231AB8" w:rsidRPr="00231AB8" w:rsidRDefault="00231AB8" w:rsidP="00231A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apply knowledge of mathematics, science and engineering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design and conduct experiments, as well as to analyze and interpret data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function on multidisciplinary teams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identify, formulate, and solve engineering problems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understanding of professional and ethical responsibility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 xml:space="preserve">an ability to communicate effectively 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 recognition of the need for, and an ability to engage in life-long learning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 knowledge of contemporary issues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31AB8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gramEnd"/>
      <w:r w:rsidRPr="00231AB8">
        <w:rPr>
          <w:rFonts w:ascii="Times New Roman" w:eastAsia="Times New Roman" w:hAnsi="Times New Roman" w:cs="Times New Roman"/>
          <w:sz w:val="20"/>
          <w:szCs w:val="20"/>
        </w:rPr>
        <w:t xml:space="preserve"> ability to use the techniques, skills, and modern engineering tools necessary for engineering practice.</w:t>
      </w:r>
    </w:p>
    <w:p w:rsidR="00C300B4" w:rsidRPr="00157277" w:rsidRDefault="00FF7034">
      <w:pPr>
        <w:spacing w:before="56"/>
        <w:ind w:left="820"/>
        <w:rPr>
          <w:rFonts w:ascii="Times New Roman" w:eastAsia="Times New Roman" w:hAnsi="Times New Roman" w:cs="Times New Roman"/>
        </w:rPr>
      </w:pPr>
      <w:r w:rsidRPr="00157277">
        <w:rPr>
          <w:rFonts w:ascii="Times New Roman" w:eastAsia="Times New Roman" w:hAnsi="Times New Roman" w:cs="Times New Roman"/>
          <w:b/>
        </w:rPr>
        <w:lastRenderedPageBreak/>
        <w:t>Evaluation Scheme</w:t>
      </w:r>
    </w:p>
    <w:p w:rsidR="00C300B4" w:rsidRPr="00157277" w:rsidRDefault="00C300B4">
      <w:pPr>
        <w:spacing w:before="9"/>
        <w:rPr>
          <w:rFonts w:ascii="Times New Roman" w:eastAsia="Times New Roman" w:hAnsi="Times New Roman" w:cs="Times New Roman"/>
          <w:b/>
          <w:sz w:val="19"/>
          <w:szCs w:val="19"/>
        </w:rPr>
      </w:pPr>
    </w:p>
    <w:tbl>
      <w:tblPr>
        <w:tblStyle w:val="a0"/>
        <w:tblW w:w="9559" w:type="dxa"/>
        <w:tblInd w:w="707" w:type="dxa"/>
        <w:tblLayout w:type="fixed"/>
        <w:tblLook w:val="0000" w:firstRow="0" w:lastRow="0" w:firstColumn="0" w:lastColumn="0" w:noHBand="0" w:noVBand="0"/>
      </w:tblPr>
      <w:tblGrid>
        <w:gridCol w:w="919"/>
        <w:gridCol w:w="2310"/>
        <w:gridCol w:w="1980"/>
        <w:gridCol w:w="1470"/>
        <w:gridCol w:w="1290"/>
        <w:gridCol w:w="1590"/>
      </w:tblGrid>
      <w:tr w:rsidR="00C300B4" w:rsidRPr="00157277">
        <w:trPr>
          <w:trHeight w:val="72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31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Ec. No.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31"/>
              <w:ind w:left="350" w:right="255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Evaluation component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31"/>
              <w:ind w:right="355"/>
              <w:jc w:val="right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31"/>
              <w:ind w:left="160" w:right="164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" w:line="237" w:lineRule="auto"/>
              <w:ind w:left="463" w:right="322" w:hanging="36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Date, time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" w:line="237" w:lineRule="auto"/>
              <w:ind w:left="187" w:right="184" w:firstLine="93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Nature of component</w:t>
            </w:r>
          </w:p>
        </w:tc>
      </w:tr>
      <w:tr w:rsidR="00C300B4" w:rsidRPr="00157277">
        <w:trPr>
          <w:trHeight w:val="28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250355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Midterm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497" w:right="499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90 mins.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EF734B" w:rsidP="002503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5/3, 11:00-12:30 PM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CB</w:t>
            </w:r>
          </w:p>
        </w:tc>
      </w:tr>
      <w:tr w:rsidR="00C300B4" w:rsidRPr="00157277">
        <w:trPr>
          <w:trHeight w:val="26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350" w:right="254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5" w:lineRule="auto"/>
              <w:ind w:right="4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C300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C300B4" w:rsidRPr="00157277">
        <w:trPr>
          <w:trHeight w:val="26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350" w:right="253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Assignments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5" w:lineRule="auto"/>
              <w:ind w:right="4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C300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C300B4" w:rsidRPr="00157277">
        <w:trPr>
          <w:trHeight w:val="42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69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 w:rsidP="00454367">
            <w:pPr>
              <w:spacing w:before="69"/>
              <w:ind w:left="350" w:right="35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Pop quizzes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 w:rsidP="001B633A">
            <w:pPr>
              <w:spacing w:before="69"/>
              <w:ind w:right="409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15 mins</w:t>
            </w:r>
            <w:r w:rsidR="001B633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69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C300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69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CB</w:t>
            </w:r>
          </w:p>
        </w:tc>
      </w:tr>
      <w:tr w:rsidR="00C300B4" w:rsidRPr="00157277">
        <w:trPr>
          <w:trHeight w:val="26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3" w:lineRule="auto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3" w:lineRule="auto"/>
              <w:ind w:left="350" w:right="257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</w:rPr>
              <w:t>Compre</w:t>
            </w:r>
            <w:proofErr w:type="spellEnd"/>
            <w:r w:rsidRPr="00157277">
              <w:rPr>
                <w:rFonts w:ascii="Times New Roman" w:eastAsia="Times New Roman" w:hAnsi="Times New Roman" w:cs="Times New Roman"/>
              </w:rPr>
              <w:t>. Exam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3" w:lineRule="auto"/>
              <w:ind w:left="497" w:right="499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3 hrs.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3" w:lineRule="auto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Default="00AE327A" w:rsidP="002503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09/05 FN</w:t>
            </w:r>
          </w:p>
          <w:p w:rsidR="00AE327A" w:rsidRPr="00157277" w:rsidRDefault="00AE327A" w:rsidP="002503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3" w:lineRule="auto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CB</w:t>
            </w:r>
          </w:p>
        </w:tc>
      </w:tr>
    </w:tbl>
    <w:p w:rsidR="00C300B4" w:rsidRPr="00157277" w:rsidRDefault="00C300B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300B4" w:rsidRPr="00157277" w:rsidRDefault="00FF7034">
      <w:pPr>
        <w:ind w:left="810" w:right="380"/>
        <w:rPr>
          <w:rFonts w:ascii="Times New Roman" w:eastAsia="Times New Roman" w:hAnsi="Times New Roman" w:cs="Times New Roman"/>
        </w:rPr>
      </w:pPr>
      <w:r w:rsidRPr="00157277">
        <w:rPr>
          <w:rFonts w:ascii="Times New Roman" w:eastAsia="Times New Roman" w:hAnsi="Times New Roman" w:cs="Times New Roman"/>
          <w:b/>
        </w:rPr>
        <w:t xml:space="preserve">Chamber Consultation Hour: </w:t>
      </w:r>
      <w:r w:rsidRPr="00157277">
        <w:rPr>
          <w:rFonts w:ascii="Times New Roman" w:eastAsia="Times New Roman" w:hAnsi="Times New Roman" w:cs="Times New Roman"/>
        </w:rPr>
        <w:t>To be announced in the class.</w:t>
      </w:r>
    </w:p>
    <w:p w:rsidR="00C300B4" w:rsidRPr="00157277" w:rsidRDefault="00FF7034" w:rsidP="00454367">
      <w:pPr>
        <w:ind w:left="2880" w:right="380" w:hanging="2070"/>
        <w:jc w:val="both"/>
        <w:rPr>
          <w:rFonts w:ascii="Times New Roman" w:eastAsia="Times New Roman" w:hAnsi="Times New Roman" w:cs="Times New Roman"/>
        </w:rPr>
      </w:pPr>
      <w:r w:rsidRPr="00157277">
        <w:rPr>
          <w:rFonts w:ascii="Times New Roman" w:eastAsia="Times New Roman" w:hAnsi="Times New Roman" w:cs="Times New Roman"/>
          <w:b/>
        </w:rPr>
        <w:t xml:space="preserve">Notices: </w:t>
      </w:r>
      <w:r w:rsidR="00454367" w:rsidRPr="00157277">
        <w:rPr>
          <w:rFonts w:ascii="Times New Roman" w:eastAsia="Times New Roman" w:hAnsi="Times New Roman" w:cs="Times New Roman"/>
          <w:b/>
        </w:rPr>
        <w:tab/>
      </w:r>
      <w:r w:rsidRPr="00157277">
        <w:rPr>
          <w:rFonts w:ascii="Times New Roman" w:eastAsia="Times New Roman" w:hAnsi="Times New Roman" w:cs="Times New Roman"/>
        </w:rPr>
        <w:t>All Notice</w:t>
      </w:r>
      <w:r w:rsidR="00454367" w:rsidRPr="00157277">
        <w:rPr>
          <w:rFonts w:ascii="Times New Roman" w:eastAsia="Times New Roman" w:hAnsi="Times New Roman" w:cs="Times New Roman"/>
        </w:rPr>
        <w:t>s</w:t>
      </w:r>
      <w:r w:rsidRPr="00157277">
        <w:rPr>
          <w:rFonts w:ascii="Times New Roman" w:eastAsia="Times New Roman" w:hAnsi="Times New Roman" w:cs="Times New Roman"/>
        </w:rPr>
        <w:t xml:space="preserve"> concerning to the course will be displayed on</w:t>
      </w:r>
      <w:r w:rsidRPr="00157277">
        <w:rPr>
          <w:rFonts w:ascii="Times New Roman" w:eastAsia="Times New Roman" w:hAnsi="Times New Roman" w:cs="Times New Roman"/>
          <w:b/>
        </w:rPr>
        <w:t xml:space="preserve"> CMS and Notice Board </w:t>
      </w:r>
      <w:r w:rsidRPr="00157277">
        <w:rPr>
          <w:rFonts w:ascii="Times New Roman" w:eastAsia="Times New Roman" w:hAnsi="Times New Roman" w:cs="Times New Roman"/>
        </w:rPr>
        <w:t xml:space="preserve">of Civil </w:t>
      </w:r>
      <w:proofErr w:type="spellStart"/>
      <w:r w:rsidRPr="00157277">
        <w:rPr>
          <w:rFonts w:ascii="Times New Roman" w:eastAsia="Times New Roman" w:hAnsi="Times New Roman" w:cs="Times New Roman"/>
        </w:rPr>
        <w:t>Engg</w:t>
      </w:r>
      <w:proofErr w:type="spellEnd"/>
      <w:r w:rsidRPr="00157277">
        <w:rPr>
          <w:rFonts w:ascii="Times New Roman" w:eastAsia="Times New Roman" w:hAnsi="Times New Roman" w:cs="Times New Roman"/>
        </w:rPr>
        <w:t>. Department.</w:t>
      </w:r>
    </w:p>
    <w:p w:rsidR="00C300B4" w:rsidRPr="00157277" w:rsidRDefault="00FF7034">
      <w:pPr>
        <w:ind w:left="810" w:right="380"/>
        <w:rPr>
          <w:rFonts w:ascii="Times New Roman" w:eastAsia="Times New Roman" w:hAnsi="Times New Roman" w:cs="Times New Roman"/>
        </w:rPr>
      </w:pPr>
      <w:r w:rsidRPr="00157277">
        <w:rPr>
          <w:rFonts w:ascii="Times New Roman" w:eastAsia="Times New Roman" w:hAnsi="Times New Roman" w:cs="Times New Roman"/>
          <w:b/>
        </w:rPr>
        <w:t xml:space="preserve">Make up policy: </w:t>
      </w:r>
      <w:r w:rsidR="00454367" w:rsidRPr="00157277">
        <w:rPr>
          <w:rFonts w:ascii="Times New Roman" w:eastAsia="Times New Roman" w:hAnsi="Times New Roman" w:cs="Times New Roman"/>
          <w:b/>
        </w:rPr>
        <w:tab/>
      </w:r>
      <w:r w:rsidRPr="00157277">
        <w:rPr>
          <w:rFonts w:ascii="Times New Roman" w:eastAsia="Times New Roman" w:hAnsi="Times New Roman" w:cs="Times New Roman"/>
        </w:rPr>
        <w:t>Makeup will be given only to the genuine cases with prior permission.</w:t>
      </w:r>
    </w:p>
    <w:p w:rsidR="00C300B4" w:rsidRDefault="00FF7034">
      <w:pPr>
        <w:ind w:left="810" w:right="380"/>
        <w:rPr>
          <w:rFonts w:ascii="Times New Roman" w:eastAsia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A0746C" w:rsidRPr="00157277" w:rsidRDefault="00A0746C">
      <w:pPr>
        <w:ind w:left="810" w:right="380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C300B4">
      <w:pPr>
        <w:ind w:left="720" w:firstLine="720"/>
        <w:rPr>
          <w:rFonts w:ascii="Times New Roman" w:eastAsia="Times New Roman" w:hAnsi="Times New Roman" w:cs="Times New Roman"/>
        </w:rPr>
      </w:pPr>
    </w:p>
    <w:p w:rsidR="00C300B4" w:rsidRPr="00157277" w:rsidRDefault="00FF7034">
      <w:pPr>
        <w:spacing w:line="20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Instructor-in-charge </w:t>
      </w:r>
    </w:p>
    <w:p w:rsidR="00454367" w:rsidRPr="00157277" w:rsidRDefault="00454367" w:rsidP="00454367">
      <w:pPr>
        <w:spacing w:line="213" w:lineRule="auto"/>
        <w:ind w:left="8640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454367" w:rsidRDefault="00FF7034" w:rsidP="00454367">
      <w:pPr>
        <w:spacing w:line="213" w:lineRule="auto"/>
        <w:ind w:left="8640" w:right="100"/>
        <w:rPr>
          <w:rFonts w:ascii="Times New Roman" w:eastAsia="Times New Roman" w:hAnsi="Times New Roman" w:cs="Times New Roman"/>
          <w:sz w:val="20"/>
          <w:szCs w:val="20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CE G562</w:t>
      </w:r>
    </w:p>
    <w:sectPr w:rsidR="00C300B4" w:rsidRPr="00454367" w:rsidSect="001D2CA4">
      <w:type w:val="continuous"/>
      <w:pgSz w:w="12240" w:h="15840"/>
      <w:pgMar w:top="1800" w:right="1160" w:bottom="280" w:left="6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D92" w:rsidRDefault="00FE6D92">
      <w:r>
        <w:separator/>
      </w:r>
    </w:p>
  </w:endnote>
  <w:endnote w:type="continuationSeparator" w:id="0">
    <w:p w:rsidR="00FE6D92" w:rsidRDefault="00FE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0B4" w:rsidRDefault="00FF7034">
    <w:pPr>
      <w:tabs>
        <w:tab w:val="center" w:pos="4680"/>
        <w:tab w:val="right" w:pos="9360"/>
      </w:tabs>
      <w:jc w:val="center"/>
    </w:pPr>
    <w:r>
      <w:t>[</w:t>
    </w:r>
    <w:r w:rsidR="001B6727">
      <w:fldChar w:fldCharType="begin"/>
    </w:r>
    <w:r>
      <w:instrText>PAGE</w:instrText>
    </w:r>
    <w:r w:rsidR="001B6727">
      <w:fldChar w:fldCharType="separate"/>
    </w:r>
    <w:r w:rsidR="00086D67">
      <w:rPr>
        <w:noProof/>
      </w:rPr>
      <w:t>5</w:t>
    </w:r>
    <w:r w:rsidR="001B6727">
      <w:fldChar w:fldCharType="end"/>
    </w:r>
    <w:r w:rsidR="00E67918">
      <w:t xml:space="preserve"> of 5</w:t>
    </w:r>
    <w:r>
      <w:t>]</w:t>
    </w:r>
  </w:p>
  <w:p w:rsidR="00C300B4" w:rsidRDefault="00C300B4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D92" w:rsidRDefault="00FE6D92">
      <w:r>
        <w:separator/>
      </w:r>
    </w:p>
  </w:footnote>
  <w:footnote w:type="continuationSeparator" w:id="0">
    <w:p w:rsidR="00FE6D92" w:rsidRDefault="00FE6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0B4" w:rsidRDefault="00C300B4" w:rsidP="00442974">
    <w:pPr>
      <w:jc w:val="right"/>
    </w:pPr>
  </w:p>
  <w:p w:rsidR="00C300B4" w:rsidRDefault="00442974" w:rsidP="00442974">
    <w:pPr>
      <w:jc w:val="right"/>
    </w:pPr>
    <w:r>
      <w:rPr>
        <w:noProof/>
        <w:lang w:val="en-IN" w:eastAsia="en-IN"/>
      </w:rPr>
      <w:drawing>
        <wp:inline distT="0" distB="0" distL="0" distR="0">
          <wp:extent cx="2034540" cy="746760"/>
          <wp:effectExtent l="0" t="0" r="381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00B4" w:rsidRDefault="00C300B4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B25"/>
    <w:multiLevelType w:val="multilevel"/>
    <w:tmpl w:val="64EC2624"/>
    <w:lvl w:ilvl="0">
      <w:start w:val="1"/>
      <w:numFmt w:val="decimal"/>
      <w:lvlText w:val="%1."/>
      <w:lvlJc w:val="left"/>
      <w:pPr>
        <w:ind w:left="1811" w:firstLine="1539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•"/>
      <w:lvlJc w:val="left"/>
      <w:pPr>
        <w:ind w:left="2686" w:firstLine="2414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3552" w:firstLine="328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4418" w:firstLine="4146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5284" w:firstLine="5012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6150" w:firstLine="5878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7016" w:firstLine="674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882" w:firstLine="761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748" w:firstLine="8476"/>
      </w:pPr>
      <w:rPr>
        <w:rFonts w:ascii="Arial" w:eastAsia="Arial" w:hAnsi="Arial" w:cs="Arial"/>
      </w:rPr>
    </w:lvl>
  </w:abstractNum>
  <w:abstractNum w:abstractNumId="1" w15:restartNumberingAfterBreak="0">
    <w:nsid w:val="101819EA"/>
    <w:multiLevelType w:val="hybridMultilevel"/>
    <w:tmpl w:val="D06AEF62"/>
    <w:lvl w:ilvl="0" w:tplc="028C31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CE25E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4485A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E78DF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BC90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4562A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1AA3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2D077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F68C89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1FCC15EA"/>
    <w:multiLevelType w:val="hybridMultilevel"/>
    <w:tmpl w:val="AC8E393C"/>
    <w:lvl w:ilvl="0" w:tplc="028C31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57081C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34485A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E78DF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BC90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4562A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1AA3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2D077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F68C89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858BF"/>
    <w:multiLevelType w:val="hybridMultilevel"/>
    <w:tmpl w:val="CC86E1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42D816FB"/>
    <w:multiLevelType w:val="multilevel"/>
    <w:tmpl w:val="BCDCDC54"/>
    <w:lvl w:ilvl="0">
      <w:start w:val="1"/>
      <w:numFmt w:val="decimal"/>
      <w:lvlText w:val="%1."/>
      <w:lvlJc w:val="left"/>
      <w:pPr>
        <w:ind w:left="1540" w:firstLine="118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7" w15:restartNumberingAfterBreak="0">
    <w:nsid w:val="6F666D4D"/>
    <w:multiLevelType w:val="multilevel"/>
    <w:tmpl w:val="E084E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656EC"/>
    <w:multiLevelType w:val="hybridMultilevel"/>
    <w:tmpl w:val="B04023E6"/>
    <w:lvl w:ilvl="0" w:tplc="A1282686">
      <w:start w:val="1"/>
      <w:numFmt w:val="decimal"/>
      <w:lvlText w:val="[%1]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0B4"/>
    <w:rsid w:val="00072921"/>
    <w:rsid w:val="00086D67"/>
    <w:rsid w:val="000E0A92"/>
    <w:rsid w:val="00107F27"/>
    <w:rsid w:val="0012613F"/>
    <w:rsid w:val="00157277"/>
    <w:rsid w:val="001675EE"/>
    <w:rsid w:val="001B633A"/>
    <w:rsid w:val="001B6727"/>
    <w:rsid w:val="001D2CA4"/>
    <w:rsid w:val="001E76BF"/>
    <w:rsid w:val="00231AB8"/>
    <w:rsid w:val="00250355"/>
    <w:rsid w:val="002652E9"/>
    <w:rsid w:val="00274FAD"/>
    <w:rsid w:val="002F11EE"/>
    <w:rsid w:val="003012D7"/>
    <w:rsid w:val="00362FD3"/>
    <w:rsid w:val="003D6381"/>
    <w:rsid w:val="003F5DC8"/>
    <w:rsid w:val="00442974"/>
    <w:rsid w:val="00454367"/>
    <w:rsid w:val="004A4834"/>
    <w:rsid w:val="0055298C"/>
    <w:rsid w:val="00555ECD"/>
    <w:rsid w:val="00567ACB"/>
    <w:rsid w:val="005C329C"/>
    <w:rsid w:val="00697907"/>
    <w:rsid w:val="00697A18"/>
    <w:rsid w:val="006C2B1F"/>
    <w:rsid w:val="00745258"/>
    <w:rsid w:val="007A1352"/>
    <w:rsid w:val="007C5458"/>
    <w:rsid w:val="008D7480"/>
    <w:rsid w:val="00927FDF"/>
    <w:rsid w:val="009A2B7D"/>
    <w:rsid w:val="009D7B3F"/>
    <w:rsid w:val="009F2C36"/>
    <w:rsid w:val="00A0746C"/>
    <w:rsid w:val="00A71274"/>
    <w:rsid w:val="00A91D2E"/>
    <w:rsid w:val="00AA6FDC"/>
    <w:rsid w:val="00AE327A"/>
    <w:rsid w:val="00AF2EEA"/>
    <w:rsid w:val="00B34CC4"/>
    <w:rsid w:val="00B52230"/>
    <w:rsid w:val="00BD4B70"/>
    <w:rsid w:val="00C13BC2"/>
    <w:rsid w:val="00C165AC"/>
    <w:rsid w:val="00C300B4"/>
    <w:rsid w:val="00C57D58"/>
    <w:rsid w:val="00C653D1"/>
    <w:rsid w:val="00C6729D"/>
    <w:rsid w:val="00CA631F"/>
    <w:rsid w:val="00CC586B"/>
    <w:rsid w:val="00D1300F"/>
    <w:rsid w:val="00D20AA7"/>
    <w:rsid w:val="00D23474"/>
    <w:rsid w:val="00DA05B9"/>
    <w:rsid w:val="00E52CB7"/>
    <w:rsid w:val="00E67918"/>
    <w:rsid w:val="00E73003"/>
    <w:rsid w:val="00EC3532"/>
    <w:rsid w:val="00EF655D"/>
    <w:rsid w:val="00EF734B"/>
    <w:rsid w:val="00F11CE8"/>
    <w:rsid w:val="00FE6D92"/>
    <w:rsid w:val="00FF7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C5F4F1-07A7-4B89-90DD-1C6D175C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2CA4"/>
  </w:style>
  <w:style w:type="paragraph" w:styleId="Heading1">
    <w:name w:val="heading 1"/>
    <w:basedOn w:val="Normal"/>
    <w:next w:val="Normal"/>
    <w:rsid w:val="001D2CA4"/>
    <w:pPr>
      <w:ind w:left="1540"/>
      <w:outlineLvl w:val="0"/>
    </w:pPr>
    <w:rPr>
      <w:b/>
    </w:rPr>
  </w:style>
  <w:style w:type="paragraph" w:styleId="Heading2">
    <w:name w:val="heading 2"/>
    <w:basedOn w:val="Normal"/>
    <w:next w:val="Normal"/>
    <w:rsid w:val="001D2CA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D2CA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D2CA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D2CA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D2CA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D2CA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D2CA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2C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1D2CA4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974"/>
  </w:style>
  <w:style w:type="paragraph" w:styleId="Footer">
    <w:name w:val="footer"/>
    <w:basedOn w:val="Normal"/>
    <w:link w:val="Foot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974"/>
  </w:style>
  <w:style w:type="paragraph" w:styleId="ListParagraph">
    <w:name w:val="List Paragraph"/>
    <w:basedOn w:val="Normal"/>
    <w:uiPriority w:val="34"/>
    <w:qFormat/>
    <w:rsid w:val="0045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7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55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58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45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07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7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5001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9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52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49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21</cp:revision>
  <cp:lastPrinted>2018-08-01T04:22:00Z</cp:lastPrinted>
  <dcterms:created xsi:type="dcterms:W3CDTF">2017-10-10T04:13:00Z</dcterms:created>
  <dcterms:modified xsi:type="dcterms:W3CDTF">2020-01-04T11:45:00Z</dcterms:modified>
</cp:coreProperties>
</file>