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AEE" w:rsidRDefault="007367A4" w:rsidP="0087405B">
      <w:pPr>
        <w:widowControl w:val="0"/>
        <w:autoSpaceDE w:val="0"/>
        <w:autoSpaceDN w:val="0"/>
        <w:adjustRightInd w:val="0"/>
        <w:spacing w:after="0" w:line="240" w:lineRule="auto"/>
        <w:rPr>
          <w:rFonts w:ascii="Times New Roman" w:hAnsi="Times New Roman"/>
          <w:b/>
          <w:bCs/>
          <w:sz w:val="16"/>
          <w:szCs w:val="16"/>
        </w:rPr>
      </w:pPr>
      <w:r>
        <w:rPr>
          <w:rFonts w:eastAsia="Calibri"/>
          <w:b/>
          <w:noProof/>
          <w:lang w:val="en-IN" w:eastAsia="en-IN"/>
        </w:rPr>
        <w:drawing>
          <wp:inline distT="0" distB="0" distL="0" distR="0">
            <wp:extent cx="4800600" cy="990600"/>
            <wp:effectExtent l="0" t="0" r="0" b="0"/>
            <wp:docPr id="1" name="Picture 2" descr="Description: 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_Horizontal_longVe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990600"/>
                    </a:xfrm>
                    <a:prstGeom prst="rect">
                      <a:avLst/>
                    </a:prstGeom>
                    <a:noFill/>
                    <a:ln>
                      <a:noFill/>
                    </a:ln>
                  </pic:spPr>
                </pic:pic>
              </a:graphicData>
            </a:graphic>
          </wp:inline>
        </w:drawing>
      </w:r>
    </w:p>
    <w:p w:rsidR="00237C83" w:rsidRDefault="00237C83">
      <w:pPr>
        <w:widowControl w:val="0"/>
        <w:autoSpaceDE w:val="0"/>
        <w:autoSpaceDN w:val="0"/>
        <w:adjustRightInd w:val="0"/>
        <w:spacing w:after="0" w:line="6" w:lineRule="exact"/>
        <w:rPr>
          <w:rFonts w:ascii="Times New Roman" w:hAnsi="Times New Roman"/>
          <w:sz w:val="24"/>
          <w:szCs w:val="24"/>
        </w:rPr>
      </w:pPr>
    </w:p>
    <w:p w:rsidR="00237C83" w:rsidRDefault="00237C83">
      <w:pPr>
        <w:widowControl w:val="0"/>
        <w:autoSpaceDE w:val="0"/>
        <w:autoSpaceDN w:val="0"/>
        <w:adjustRightInd w:val="0"/>
        <w:spacing w:after="0" w:line="6" w:lineRule="exact"/>
        <w:rPr>
          <w:rFonts w:ascii="Times New Roman" w:hAnsi="Times New Roman"/>
          <w:sz w:val="24"/>
          <w:szCs w:val="24"/>
        </w:rPr>
      </w:pPr>
    </w:p>
    <w:p w:rsidR="00237C83" w:rsidRDefault="00FF6F51">
      <w:pPr>
        <w:widowControl w:val="0"/>
        <w:autoSpaceDE w:val="0"/>
        <w:autoSpaceDN w:val="0"/>
        <w:adjustRightInd w:val="0"/>
        <w:spacing w:after="0" w:line="240" w:lineRule="auto"/>
        <w:ind w:left="3640"/>
        <w:rPr>
          <w:rFonts w:ascii="Times New Roman" w:hAnsi="Times New Roman"/>
          <w:sz w:val="24"/>
          <w:szCs w:val="24"/>
        </w:rPr>
      </w:pPr>
      <w:r>
        <w:rPr>
          <w:rFonts w:ascii="Times New Roman" w:hAnsi="Times New Roman"/>
          <w:b/>
          <w:bCs/>
          <w:sz w:val="16"/>
          <w:szCs w:val="16"/>
        </w:rPr>
        <w:t>Second Semester 201</w:t>
      </w:r>
      <w:r w:rsidR="00553092">
        <w:rPr>
          <w:rFonts w:ascii="Times New Roman" w:hAnsi="Times New Roman"/>
          <w:b/>
          <w:bCs/>
          <w:sz w:val="16"/>
          <w:szCs w:val="16"/>
        </w:rPr>
        <w:t>9- 2020</w:t>
      </w:r>
    </w:p>
    <w:p w:rsidR="00237C83" w:rsidRDefault="00237C83">
      <w:pPr>
        <w:widowControl w:val="0"/>
        <w:autoSpaceDE w:val="0"/>
        <w:autoSpaceDN w:val="0"/>
        <w:adjustRightInd w:val="0"/>
        <w:spacing w:after="0" w:line="6" w:lineRule="exact"/>
        <w:rPr>
          <w:rFonts w:ascii="Times New Roman" w:hAnsi="Times New Roman"/>
          <w:sz w:val="24"/>
          <w:szCs w:val="24"/>
        </w:rPr>
      </w:pPr>
    </w:p>
    <w:p w:rsidR="00237C83" w:rsidRDefault="00FF6F51" w:rsidP="00033F33">
      <w:pPr>
        <w:widowControl w:val="0"/>
        <w:autoSpaceDE w:val="0"/>
        <w:autoSpaceDN w:val="0"/>
        <w:adjustRightInd w:val="0"/>
        <w:spacing w:after="0" w:line="240" w:lineRule="auto"/>
        <w:ind w:left="3740"/>
        <w:rPr>
          <w:rFonts w:ascii="Times New Roman" w:hAnsi="Times New Roman"/>
          <w:sz w:val="24"/>
          <w:szCs w:val="24"/>
        </w:rPr>
      </w:pPr>
      <w:r>
        <w:rPr>
          <w:rFonts w:ascii="Times New Roman" w:hAnsi="Times New Roman"/>
          <w:b/>
          <w:bCs/>
          <w:sz w:val="16"/>
          <w:szCs w:val="16"/>
        </w:rPr>
        <w:t>Course Handout (Part-II)</w:t>
      </w:r>
    </w:p>
    <w:p w:rsidR="00237C83" w:rsidRDefault="00FF6F51">
      <w:pPr>
        <w:widowControl w:val="0"/>
        <w:autoSpaceDE w:val="0"/>
        <w:autoSpaceDN w:val="0"/>
        <w:adjustRightInd w:val="0"/>
        <w:spacing w:after="0" w:line="240" w:lineRule="auto"/>
        <w:ind w:left="8020"/>
        <w:rPr>
          <w:rFonts w:ascii="Times New Roman" w:hAnsi="Times New Roman"/>
          <w:sz w:val="24"/>
          <w:szCs w:val="24"/>
        </w:rPr>
      </w:pPr>
      <w:r>
        <w:rPr>
          <w:rFonts w:ascii="Times New Roman" w:hAnsi="Times New Roman"/>
          <w:sz w:val="16"/>
          <w:szCs w:val="16"/>
        </w:rPr>
        <w:t>Date:</w:t>
      </w:r>
      <w:r w:rsidR="00553092">
        <w:rPr>
          <w:rFonts w:ascii="Times New Roman" w:hAnsi="Times New Roman"/>
          <w:sz w:val="16"/>
          <w:szCs w:val="16"/>
        </w:rPr>
        <w:t>28/11/2019</w:t>
      </w:r>
    </w:p>
    <w:p w:rsidR="00237C83" w:rsidRDefault="00237C83">
      <w:pPr>
        <w:widowControl w:val="0"/>
        <w:autoSpaceDE w:val="0"/>
        <w:autoSpaceDN w:val="0"/>
        <w:adjustRightInd w:val="0"/>
        <w:spacing w:after="0" w:line="240" w:lineRule="exact"/>
        <w:rPr>
          <w:rFonts w:ascii="Times New Roman" w:hAnsi="Times New Roman"/>
          <w:sz w:val="24"/>
          <w:szCs w:val="24"/>
        </w:rPr>
      </w:pPr>
    </w:p>
    <w:p w:rsidR="00237C83" w:rsidRDefault="00FF6F51">
      <w:pPr>
        <w:widowControl w:val="0"/>
        <w:overflowPunct w:val="0"/>
        <w:autoSpaceDE w:val="0"/>
        <w:autoSpaceDN w:val="0"/>
        <w:adjustRightInd w:val="0"/>
        <w:spacing w:after="0" w:line="284" w:lineRule="auto"/>
        <w:ind w:left="120" w:right="120"/>
        <w:jc w:val="both"/>
        <w:rPr>
          <w:rFonts w:ascii="Times New Roman" w:hAnsi="Times New Roman"/>
          <w:sz w:val="24"/>
          <w:szCs w:val="24"/>
        </w:rPr>
      </w:pPr>
      <w:r>
        <w:rPr>
          <w:rFonts w:ascii="Times New Roman" w:hAnsi="Times New Roman"/>
          <w:b/>
          <w:bCs/>
          <w:sz w:val="16"/>
          <w:szCs w:val="16"/>
        </w:rPr>
        <w:t>In addition to Part I (General Handout for all courses appended to the Time Table), this portion gives further specific details regarding the course.</w:t>
      </w:r>
    </w:p>
    <w:p w:rsidR="00237C83" w:rsidRDefault="00237C83">
      <w:pPr>
        <w:widowControl w:val="0"/>
        <w:autoSpaceDE w:val="0"/>
        <w:autoSpaceDN w:val="0"/>
        <w:adjustRightInd w:val="0"/>
        <w:spacing w:after="0" w:line="132" w:lineRule="exact"/>
        <w:rPr>
          <w:rFonts w:ascii="Times New Roman" w:hAnsi="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1100"/>
        <w:gridCol w:w="3004"/>
      </w:tblGrid>
      <w:tr w:rsidR="00237C83" w:rsidRPr="008C40E2" w:rsidTr="00553092">
        <w:trPr>
          <w:trHeight w:val="191"/>
        </w:trPr>
        <w:tc>
          <w:tcPr>
            <w:tcW w:w="2160" w:type="dxa"/>
            <w:vAlign w:val="bottom"/>
          </w:tcPr>
          <w:p w:rsidR="00237C83" w:rsidRPr="00DF0B6E" w:rsidRDefault="00FF6F51">
            <w:pPr>
              <w:widowControl w:val="0"/>
              <w:autoSpaceDE w:val="0"/>
              <w:autoSpaceDN w:val="0"/>
              <w:adjustRightInd w:val="0"/>
              <w:spacing w:after="0" w:line="240" w:lineRule="auto"/>
              <w:rPr>
                <w:rFonts w:ascii="Times New Roman" w:hAnsi="Times New Roman"/>
                <w:sz w:val="16"/>
                <w:szCs w:val="16"/>
              </w:rPr>
            </w:pPr>
            <w:r w:rsidRPr="00DF0B6E">
              <w:rPr>
                <w:rFonts w:ascii="Times New Roman" w:hAnsi="Times New Roman"/>
                <w:b/>
                <w:bCs/>
                <w:sz w:val="16"/>
                <w:szCs w:val="16"/>
              </w:rPr>
              <w:t>Course No</w:t>
            </w:r>
            <w:r w:rsidRPr="00DF0B6E">
              <w:rPr>
                <w:rFonts w:ascii="Times New Roman" w:hAnsi="Times New Roman"/>
                <w:b/>
                <w:bCs/>
                <w:i/>
                <w:iCs/>
                <w:sz w:val="16"/>
                <w:szCs w:val="16"/>
              </w:rPr>
              <w:t>.</w:t>
            </w:r>
          </w:p>
        </w:tc>
        <w:tc>
          <w:tcPr>
            <w:tcW w:w="1100" w:type="dxa"/>
            <w:vAlign w:val="bottom"/>
          </w:tcPr>
          <w:p w:rsidR="00237C83" w:rsidRPr="00DF0B6E" w:rsidRDefault="00FF6F51">
            <w:pPr>
              <w:widowControl w:val="0"/>
              <w:autoSpaceDE w:val="0"/>
              <w:autoSpaceDN w:val="0"/>
              <w:adjustRightInd w:val="0"/>
              <w:spacing w:after="0" w:line="240" w:lineRule="auto"/>
              <w:ind w:right="240"/>
              <w:jc w:val="right"/>
              <w:rPr>
                <w:rFonts w:ascii="Times New Roman" w:hAnsi="Times New Roman"/>
                <w:sz w:val="16"/>
                <w:szCs w:val="16"/>
              </w:rPr>
            </w:pPr>
            <w:r w:rsidRPr="00DF0B6E">
              <w:rPr>
                <w:rFonts w:ascii="Times New Roman" w:hAnsi="Times New Roman"/>
                <w:b/>
                <w:bCs/>
                <w:sz w:val="16"/>
                <w:szCs w:val="16"/>
              </w:rPr>
              <w:t>:</w:t>
            </w:r>
          </w:p>
        </w:tc>
        <w:tc>
          <w:tcPr>
            <w:tcW w:w="3004" w:type="dxa"/>
            <w:vAlign w:val="bottom"/>
          </w:tcPr>
          <w:p w:rsidR="00237C83" w:rsidRPr="00DF0B6E" w:rsidRDefault="00FF6F51">
            <w:pPr>
              <w:widowControl w:val="0"/>
              <w:autoSpaceDE w:val="0"/>
              <w:autoSpaceDN w:val="0"/>
              <w:adjustRightInd w:val="0"/>
              <w:spacing w:after="0" w:line="240" w:lineRule="auto"/>
              <w:ind w:left="340"/>
              <w:rPr>
                <w:rFonts w:ascii="Times New Roman" w:hAnsi="Times New Roman"/>
                <w:sz w:val="16"/>
                <w:szCs w:val="16"/>
              </w:rPr>
            </w:pPr>
            <w:r w:rsidRPr="00DF0B6E">
              <w:rPr>
                <w:rFonts w:ascii="Times New Roman" w:hAnsi="Times New Roman"/>
                <w:b/>
                <w:bCs/>
                <w:sz w:val="16"/>
                <w:szCs w:val="16"/>
              </w:rPr>
              <w:t>CHE G641</w:t>
            </w:r>
          </w:p>
        </w:tc>
      </w:tr>
      <w:tr w:rsidR="00237C83" w:rsidRPr="008C40E2" w:rsidTr="00553092">
        <w:trPr>
          <w:trHeight w:val="190"/>
        </w:trPr>
        <w:tc>
          <w:tcPr>
            <w:tcW w:w="2160" w:type="dxa"/>
            <w:vAlign w:val="bottom"/>
          </w:tcPr>
          <w:p w:rsidR="00237C83" w:rsidRPr="00DF0B6E" w:rsidRDefault="00FF6F51">
            <w:pPr>
              <w:widowControl w:val="0"/>
              <w:autoSpaceDE w:val="0"/>
              <w:autoSpaceDN w:val="0"/>
              <w:adjustRightInd w:val="0"/>
              <w:spacing w:after="0" w:line="240" w:lineRule="auto"/>
              <w:rPr>
                <w:rFonts w:ascii="Times New Roman" w:hAnsi="Times New Roman"/>
                <w:sz w:val="16"/>
                <w:szCs w:val="16"/>
              </w:rPr>
            </w:pPr>
            <w:r w:rsidRPr="00DF0B6E">
              <w:rPr>
                <w:rFonts w:ascii="Times New Roman" w:hAnsi="Times New Roman"/>
                <w:b/>
                <w:bCs/>
                <w:sz w:val="16"/>
                <w:szCs w:val="16"/>
              </w:rPr>
              <w:t>Course Title</w:t>
            </w:r>
          </w:p>
        </w:tc>
        <w:tc>
          <w:tcPr>
            <w:tcW w:w="1100" w:type="dxa"/>
            <w:vAlign w:val="bottom"/>
          </w:tcPr>
          <w:p w:rsidR="00237C83" w:rsidRPr="00DF0B6E" w:rsidRDefault="00FF6F51">
            <w:pPr>
              <w:widowControl w:val="0"/>
              <w:autoSpaceDE w:val="0"/>
              <w:autoSpaceDN w:val="0"/>
              <w:adjustRightInd w:val="0"/>
              <w:spacing w:after="0" w:line="240" w:lineRule="auto"/>
              <w:ind w:right="240"/>
              <w:jc w:val="right"/>
              <w:rPr>
                <w:rFonts w:ascii="Times New Roman" w:hAnsi="Times New Roman"/>
                <w:sz w:val="16"/>
                <w:szCs w:val="16"/>
              </w:rPr>
            </w:pPr>
            <w:r w:rsidRPr="00DF0B6E">
              <w:rPr>
                <w:rFonts w:ascii="Times New Roman" w:hAnsi="Times New Roman"/>
                <w:b/>
                <w:bCs/>
                <w:sz w:val="16"/>
                <w:szCs w:val="16"/>
              </w:rPr>
              <w:t>:</w:t>
            </w:r>
          </w:p>
        </w:tc>
        <w:tc>
          <w:tcPr>
            <w:tcW w:w="3004" w:type="dxa"/>
            <w:vAlign w:val="bottom"/>
          </w:tcPr>
          <w:p w:rsidR="00237C83" w:rsidRPr="00DF0B6E" w:rsidRDefault="00FF6F51">
            <w:pPr>
              <w:widowControl w:val="0"/>
              <w:autoSpaceDE w:val="0"/>
              <w:autoSpaceDN w:val="0"/>
              <w:adjustRightInd w:val="0"/>
              <w:spacing w:after="0" w:line="240" w:lineRule="auto"/>
              <w:ind w:left="340"/>
              <w:rPr>
                <w:rFonts w:ascii="Times New Roman" w:hAnsi="Times New Roman"/>
                <w:sz w:val="16"/>
                <w:szCs w:val="16"/>
              </w:rPr>
            </w:pPr>
            <w:r w:rsidRPr="00DF0B6E">
              <w:rPr>
                <w:rFonts w:ascii="Times New Roman" w:hAnsi="Times New Roman"/>
                <w:b/>
                <w:bCs/>
                <w:sz w:val="16"/>
                <w:szCs w:val="16"/>
              </w:rPr>
              <w:t>Reaction Engineering</w:t>
            </w:r>
          </w:p>
        </w:tc>
      </w:tr>
      <w:tr w:rsidR="00237C83" w:rsidRPr="008C40E2" w:rsidTr="00553092">
        <w:trPr>
          <w:trHeight w:val="213"/>
        </w:trPr>
        <w:tc>
          <w:tcPr>
            <w:tcW w:w="2160" w:type="dxa"/>
            <w:vAlign w:val="bottom"/>
          </w:tcPr>
          <w:p w:rsidR="00237C83" w:rsidRPr="00DF0B6E" w:rsidRDefault="00FF6F51">
            <w:pPr>
              <w:widowControl w:val="0"/>
              <w:autoSpaceDE w:val="0"/>
              <w:autoSpaceDN w:val="0"/>
              <w:adjustRightInd w:val="0"/>
              <w:spacing w:after="0" w:line="240" w:lineRule="auto"/>
              <w:rPr>
                <w:rFonts w:ascii="Times New Roman" w:hAnsi="Times New Roman"/>
                <w:sz w:val="16"/>
                <w:szCs w:val="16"/>
              </w:rPr>
            </w:pPr>
            <w:r w:rsidRPr="00DF0B6E">
              <w:rPr>
                <w:rFonts w:ascii="Times New Roman" w:hAnsi="Times New Roman"/>
                <w:b/>
                <w:bCs/>
                <w:sz w:val="16"/>
                <w:szCs w:val="16"/>
              </w:rPr>
              <w:t>Instructor-in-Charge</w:t>
            </w:r>
          </w:p>
        </w:tc>
        <w:tc>
          <w:tcPr>
            <w:tcW w:w="1100" w:type="dxa"/>
            <w:vAlign w:val="bottom"/>
          </w:tcPr>
          <w:p w:rsidR="00237C83" w:rsidRPr="00DF0B6E" w:rsidRDefault="00FF6F51">
            <w:pPr>
              <w:widowControl w:val="0"/>
              <w:autoSpaceDE w:val="0"/>
              <w:autoSpaceDN w:val="0"/>
              <w:adjustRightInd w:val="0"/>
              <w:spacing w:after="0" w:line="240" w:lineRule="auto"/>
              <w:ind w:right="240"/>
              <w:jc w:val="right"/>
              <w:rPr>
                <w:rFonts w:ascii="Times New Roman" w:hAnsi="Times New Roman"/>
                <w:sz w:val="16"/>
                <w:szCs w:val="16"/>
              </w:rPr>
            </w:pPr>
            <w:r w:rsidRPr="00DF0B6E">
              <w:rPr>
                <w:rFonts w:ascii="Times New Roman" w:hAnsi="Times New Roman"/>
                <w:b/>
                <w:bCs/>
                <w:sz w:val="16"/>
                <w:szCs w:val="16"/>
              </w:rPr>
              <w:t>:</w:t>
            </w:r>
          </w:p>
        </w:tc>
        <w:tc>
          <w:tcPr>
            <w:tcW w:w="3004" w:type="dxa"/>
            <w:vAlign w:val="bottom"/>
          </w:tcPr>
          <w:p w:rsidR="00237C83" w:rsidRPr="00DF0B6E" w:rsidRDefault="00553092" w:rsidP="0034321E">
            <w:pPr>
              <w:widowControl w:val="0"/>
              <w:autoSpaceDE w:val="0"/>
              <w:autoSpaceDN w:val="0"/>
              <w:adjustRightInd w:val="0"/>
              <w:spacing w:after="0" w:line="240" w:lineRule="auto"/>
              <w:ind w:left="340"/>
              <w:rPr>
                <w:rFonts w:ascii="Times New Roman" w:hAnsi="Times New Roman"/>
                <w:sz w:val="16"/>
                <w:szCs w:val="16"/>
              </w:rPr>
            </w:pPr>
            <w:r w:rsidRPr="00DF0B6E">
              <w:rPr>
                <w:rFonts w:ascii="Times New Roman" w:hAnsi="Times New Roman"/>
                <w:b/>
                <w:bCs/>
                <w:w w:val="99"/>
                <w:sz w:val="16"/>
                <w:szCs w:val="16"/>
              </w:rPr>
              <w:t>Pankaj Kumar</w:t>
            </w:r>
          </w:p>
        </w:tc>
      </w:tr>
      <w:tr w:rsidR="00553092" w:rsidRPr="008C40E2" w:rsidTr="00553092">
        <w:trPr>
          <w:trHeight w:val="213"/>
        </w:trPr>
        <w:tc>
          <w:tcPr>
            <w:tcW w:w="2160" w:type="dxa"/>
            <w:vAlign w:val="bottom"/>
          </w:tcPr>
          <w:p w:rsidR="00553092" w:rsidRPr="00DF0B6E" w:rsidRDefault="00553092">
            <w:pPr>
              <w:widowControl w:val="0"/>
              <w:autoSpaceDE w:val="0"/>
              <w:autoSpaceDN w:val="0"/>
              <w:adjustRightInd w:val="0"/>
              <w:spacing w:after="0" w:line="240" w:lineRule="auto"/>
              <w:rPr>
                <w:rFonts w:ascii="Times New Roman" w:hAnsi="Times New Roman"/>
                <w:b/>
                <w:bCs/>
                <w:sz w:val="16"/>
                <w:szCs w:val="16"/>
              </w:rPr>
            </w:pPr>
            <w:r w:rsidRPr="00DF0B6E">
              <w:rPr>
                <w:rFonts w:ascii="Times New Roman" w:hAnsi="Times New Roman"/>
                <w:b/>
                <w:bCs/>
                <w:sz w:val="16"/>
                <w:szCs w:val="16"/>
              </w:rPr>
              <w:t>Other Instructors</w:t>
            </w:r>
          </w:p>
        </w:tc>
        <w:tc>
          <w:tcPr>
            <w:tcW w:w="1100" w:type="dxa"/>
            <w:vAlign w:val="bottom"/>
          </w:tcPr>
          <w:p w:rsidR="00553092" w:rsidRPr="00DF0B6E" w:rsidRDefault="00553092">
            <w:pPr>
              <w:widowControl w:val="0"/>
              <w:autoSpaceDE w:val="0"/>
              <w:autoSpaceDN w:val="0"/>
              <w:adjustRightInd w:val="0"/>
              <w:spacing w:after="0" w:line="240" w:lineRule="auto"/>
              <w:ind w:right="240"/>
              <w:jc w:val="right"/>
              <w:rPr>
                <w:rFonts w:ascii="Times New Roman" w:hAnsi="Times New Roman"/>
                <w:b/>
                <w:bCs/>
                <w:sz w:val="16"/>
                <w:szCs w:val="16"/>
              </w:rPr>
            </w:pPr>
            <w:r w:rsidRPr="00DF0B6E">
              <w:rPr>
                <w:rFonts w:ascii="Times New Roman" w:hAnsi="Times New Roman"/>
                <w:b/>
                <w:bCs/>
                <w:sz w:val="16"/>
                <w:szCs w:val="16"/>
              </w:rPr>
              <w:t>:</w:t>
            </w:r>
          </w:p>
        </w:tc>
        <w:tc>
          <w:tcPr>
            <w:tcW w:w="3004" w:type="dxa"/>
            <w:vAlign w:val="bottom"/>
          </w:tcPr>
          <w:p w:rsidR="00553092" w:rsidRPr="00DF0B6E" w:rsidRDefault="00553092" w:rsidP="00553092">
            <w:pPr>
              <w:widowControl w:val="0"/>
              <w:autoSpaceDE w:val="0"/>
              <w:autoSpaceDN w:val="0"/>
              <w:adjustRightInd w:val="0"/>
              <w:spacing w:after="0" w:line="240" w:lineRule="auto"/>
              <w:ind w:left="340"/>
              <w:rPr>
                <w:rFonts w:ascii="Times New Roman" w:hAnsi="Times New Roman"/>
                <w:b/>
                <w:bCs/>
                <w:w w:val="99"/>
                <w:sz w:val="16"/>
                <w:szCs w:val="16"/>
              </w:rPr>
            </w:pPr>
            <w:proofErr w:type="spellStart"/>
            <w:r w:rsidRPr="00DF0B6E">
              <w:rPr>
                <w:rFonts w:ascii="Times New Roman" w:hAnsi="Times New Roman"/>
                <w:b/>
                <w:bCs/>
                <w:w w:val="99"/>
                <w:sz w:val="16"/>
                <w:szCs w:val="16"/>
              </w:rPr>
              <w:t>SrikantaDinda</w:t>
            </w:r>
            <w:proofErr w:type="spellEnd"/>
            <w:r w:rsidRPr="00DF0B6E">
              <w:rPr>
                <w:rFonts w:ascii="Times New Roman" w:hAnsi="Times New Roman"/>
                <w:b/>
                <w:bCs/>
                <w:w w:val="99"/>
                <w:sz w:val="16"/>
                <w:szCs w:val="16"/>
              </w:rPr>
              <w:t>, P Pradeep Reddy</w:t>
            </w:r>
          </w:p>
        </w:tc>
      </w:tr>
    </w:tbl>
    <w:p w:rsidR="00237C83" w:rsidRDefault="00237C83">
      <w:pPr>
        <w:widowControl w:val="0"/>
        <w:autoSpaceDE w:val="0"/>
        <w:autoSpaceDN w:val="0"/>
        <w:adjustRightInd w:val="0"/>
        <w:spacing w:after="0" w:line="257" w:lineRule="exact"/>
        <w:rPr>
          <w:rFonts w:ascii="Times New Roman" w:hAnsi="Times New Roman"/>
          <w:sz w:val="24"/>
          <w:szCs w:val="24"/>
        </w:rPr>
      </w:pPr>
    </w:p>
    <w:p w:rsidR="00651DA0" w:rsidRPr="00651DA0" w:rsidRDefault="00651DA0" w:rsidP="00651DA0">
      <w:pPr>
        <w:widowControl w:val="0"/>
        <w:autoSpaceDE w:val="0"/>
        <w:autoSpaceDN w:val="0"/>
        <w:adjustRightInd w:val="0"/>
        <w:spacing w:after="0" w:line="240" w:lineRule="auto"/>
        <w:rPr>
          <w:rFonts w:ascii="Times New Roman" w:hAnsi="Times New Roman"/>
          <w:b/>
          <w:bCs/>
          <w:sz w:val="20"/>
          <w:szCs w:val="20"/>
        </w:rPr>
      </w:pPr>
      <w:bookmarkStart w:id="0" w:name="_GoBack"/>
      <w:bookmarkEnd w:id="0"/>
      <w:r w:rsidRPr="00651DA0">
        <w:rPr>
          <w:rFonts w:ascii="Times New Roman" w:hAnsi="Times New Roman"/>
          <w:b/>
          <w:bCs/>
          <w:sz w:val="20"/>
          <w:szCs w:val="20"/>
        </w:rPr>
        <w:t>Course Description :</w:t>
      </w:r>
    </w:p>
    <w:p w:rsidR="00651DA0" w:rsidRPr="00651DA0" w:rsidRDefault="00651DA0" w:rsidP="00651DA0">
      <w:pPr>
        <w:autoSpaceDE w:val="0"/>
        <w:autoSpaceDN w:val="0"/>
        <w:adjustRightInd w:val="0"/>
        <w:spacing w:after="0" w:line="240" w:lineRule="auto"/>
        <w:jc w:val="both"/>
        <w:rPr>
          <w:rFonts w:ascii="Times New Roman" w:hAnsi="Times New Roman"/>
          <w:sz w:val="20"/>
          <w:szCs w:val="20"/>
        </w:rPr>
      </w:pPr>
      <w:r w:rsidRPr="00651DA0">
        <w:rPr>
          <w:rFonts w:ascii="Times New Roman" w:hAnsi="Times New Roman"/>
          <w:sz w:val="20"/>
          <w:szCs w:val="20"/>
        </w:rPr>
        <w:t>Design of multi-phase reactors; analyses of gas-liquid and gas-liquid-solid reactions; intrinsic kinetics of catalytic reactions;</w:t>
      </w:r>
      <w:r w:rsidRPr="00651DA0">
        <w:rPr>
          <w:rFonts w:ascii="Times New Roman" w:hAnsi="Times New Roman"/>
          <w:sz w:val="20"/>
          <w:szCs w:val="20"/>
        </w:rPr>
        <w:t xml:space="preserve"> </w:t>
      </w:r>
      <w:r w:rsidRPr="00651DA0">
        <w:rPr>
          <w:rFonts w:ascii="Times New Roman" w:hAnsi="Times New Roman"/>
          <w:sz w:val="20"/>
          <w:szCs w:val="20"/>
        </w:rPr>
        <w:t>residence time distribution models for micro-and macro-mixing; mathematical models for gas-liquid-solid reactors; laboratory</w:t>
      </w:r>
      <w:r w:rsidRPr="00651DA0">
        <w:rPr>
          <w:rFonts w:ascii="Times New Roman" w:hAnsi="Times New Roman"/>
          <w:sz w:val="20"/>
          <w:szCs w:val="20"/>
        </w:rPr>
        <w:t xml:space="preserve"> </w:t>
      </w:r>
      <w:r w:rsidRPr="00651DA0">
        <w:rPr>
          <w:rFonts w:ascii="Times New Roman" w:hAnsi="Times New Roman"/>
          <w:sz w:val="20"/>
          <w:szCs w:val="20"/>
        </w:rPr>
        <w:t>reactors; dynamics and design of various multi-phase reactors such as trickle bed reactors, bubble column reactors,</w:t>
      </w:r>
      <w:r w:rsidRPr="00651DA0">
        <w:rPr>
          <w:rFonts w:ascii="Times New Roman" w:hAnsi="Times New Roman"/>
          <w:sz w:val="20"/>
          <w:szCs w:val="20"/>
        </w:rPr>
        <w:t xml:space="preserve"> </w:t>
      </w:r>
      <w:r w:rsidRPr="00651DA0">
        <w:rPr>
          <w:rFonts w:ascii="Times New Roman" w:hAnsi="Times New Roman"/>
          <w:sz w:val="20"/>
          <w:szCs w:val="20"/>
        </w:rPr>
        <w:t>segmented-bed reactors, slurry reactors, spouted bed reactors, pulsating reactors, fluidized bed reactors, etc.; optimization</w:t>
      </w:r>
      <w:r w:rsidRPr="00651DA0">
        <w:rPr>
          <w:rFonts w:ascii="Times New Roman" w:hAnsi="Times New Roman"/>
          <w:sz w:val="20"/>
          <w:szCs w:val="20"/>
        </w:rPr>
        <w:t xml:space="preserve"> </w:t>
      </w:r>
      <w:r w:rsidRPr="00651DA0">
        <w:rPr>
          <w:rFonts w:ascii="Times New Roman" w:hAnsi="Times New Roman"/>
          <w:sz w:val="20"/>
          <w:szCs w:val="20"/>
        </w:rPr>
        <w:t>of chemical reactors.</w:t>
      </w:r>
    </w:p>
    <w:p w:rsidR="00651DA0" w:rsidRDefault="00651DA0">
      <w:pPr>
        <w:widowControl w:val="0"/>
        <w:autoSpaceDE w:val="0"/>
        <w:autoSpaceDN w:val="0"/>
        <w:adjustRightInd w:val="0"/>
        <w:spacing w:after="0" w:line="257" w:lineRule="exact"/>
        <w:rPr>
          <w:rFonts w:ascii="Times New Roman" w:hAnsi="Times New Roman"/>
          <w:sz w:val="24"/>
          <w:szCs w:val="24"/>
        </w:rPr>
      </w:pPr>
    </w:p>
    <w:p w:rsidR="00237C83" w:rsidRDefault="00FF6F51">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0"/>
          <w:szCs w:val="20"/>
        </w:rPr>
        <w:t>Scope &amp; Objective</w:t>
      </w:r>
    </w:p>
    <w:p w:rsidR="00237C83" w:rsidRDefault="00237C83">
      <w:pPr>
        <w:widowControl w:val="0"/>
        <w:autoSpaceDE w:val="0"/>
        <w:autoSpaceDN w:val="0"/>
        <w:adjustRightInd w:val="0"/>
        <w:spacing w:after="0" w:line="4" w:lineRule="exact"/>
        <w:rPr>
          <w:rFonts w:ascii="Times New Roman" w:hAnsi="Times New Roman"/>
          <w:sz w:val="24"/>
          <w:szCs w:val="24"/>
        </w:rPr>
      </w:pPr>
    </w:p>
    <w:p w:rsidR="004E46A2" w:rsidRDefault="00FF6F51" w:rsidP="00FB001A">
      <w:pPr>
        <w:widowControl w:val="0"/>
        <w:overflowPunct w:val="0"/>
        <w:autoSpaceDE w:val="0"/>
        <w:autoSpaceDN w:val="0"/>
        <w:adjustRightInd w:val="0"/>
        <w:spacing w:after="0" w:line="251" w:lineRule="auto"/>
        <w:ind w:left="120" w:right="120"/>
        <w:jc w:val="both"/>
        <w:rPr>
          <w:rFonts w:ascii="Times New Roman" w:hAnsi="Times New Roman"/>
          <w:sz w:val="20"/>
          <w:szCs w:val="20"/>
        </w:rPr>
      </w:pPr>
      <w:r>
        <w:rPr>
          <w:rFonts w:ascii="Times New Roman" w:hAnsi="Times New Roman"/>
          <w:sz w:val="20"/>
          <w:szCs w:val="20"/>
        </w:rPr>
        <w:t>This course includes basic and advanced topics in Chemical Reaction Engineering. The initial part of the course includes reaction mechanisms, basic reaction kinetics (like rate, concentration, conversion and selectivity) and ideal reactor configurations. The design of catalytic and other multiphase reactors are elaborated</w:t>
      </w:r>
      <w:r w:rsidR="001266CF">
        <w:rPr>
          <w:rFonts w:ascii="Times New Roman" w:hAnsi="Times New Roman"/>
          <w:sz w:val="20"/>
          <w:szCs w:val="20"/>
        </w:rPr>
        <w:t>. The characterization of non-</w:t>
      </w:r>
      <w:r>
        <w:rPr>
          <w:rFonts w:ascii="Times New Roman" w:hAnsi="Times New Roman"/>
          <w:sz w:val="20"/>
          <w:szCs w:val="20"/>
        </w:rPr>
        <w:t>ideal reactors and modeling of these, especially with reference to Residence Time Distribution (RTD Models) are dealt with. Thermal and Mass Transfer effe</w:t>
      </w:r>
      <w:r w:rsidR="001266CF">
        <w:rPr>
          <w:rFonts w:ascii="Times New Roman" w:hAnsi="Times New Roman"/>
          <w:sz w:val="20"/>
          <w:szCs w:val="20"/>
        </w:rPr>
        <w:t>cts are also explained in multi-</w:t>
      </w:r>
      <w:r>
        <w:rPr>
          <w:rFonts w:ascii="Times New Roman" w:hAnsi="Times New Roman"/>
          <w:sz w:val="20"/>
          <w:szCs w:val="20"/>
        </w:rPr>
        <w:t>phase reactors. The main objective of this course is to give the student better understanding of Chemical Reaction Engineering of Multi Phase Non-ideal reactors encountered in Industry from the point of view of design and performance evaluation of such actual reactors.</w:t>
      </w:r>
      <w:r w:rsidR="00315151">
        <w:rPr>
          <w:rFonts w:ascii="Times New Roman" w:hAnsi="Times New Roman"/>
          <w:sz w:val="20"/>
          <w:szCs w:val="20"/>
        </w:rPr>
        <w:t>Short projects/assignments and industrial visits shall be planned to imbibe the concepts learnt better.</w:t>
      </w:r>
    </w:p>
    <w:p w:rsidR="00FB001A" w:rsidRDefault="004E46A2" w:rsidP="00FB001A">
      <w:pPr>
        <w:spacing w:after="0"/>
        <w:jc w:val="both"/>
        <w:rPr>
          <w:rFonts w:ascii="Times New Roman" w:hAnsi="Times New Roman"/>
        </w:rPr>
      </w:pPr>
      <w:r w:rsidRPr="00730C00">
        <w:rPr>
          <w:rFonts w:ascii="Times New Roman" w:hAnsi="Times New Roman"/>
        </w:rPr>
        <w:t xml:space="preserve">Learning outcomes: </w:t>
      </w:r>
    </w:p>
    <w:p w:rsidR="004E46A2" w:rsidRPr="00730C00" w:rsidRDefault="004E46A2" w:rsidP="00FB001A">
      <w:pPr>
        <w:spacing w:after="0"/>
        <w:jc w:val="both"/>
        <w:rPr>
          <w:rFonts w:ascii="Times New Roman" w:hAnsi="Times New Roman"/>
        </w:rPr>
      </w:pPr>
      <w:r w:rsidRPr="00730C00">
        <w:rPr>
          <w:rFonts w:ascii="Times New Roman" w:hAnsi="Times New Roman"/>
        </w:rPr>
        <w:t>After studying this course, students will be able to</w:t>
      </w:r>
    </w:p>
    <w:p w:rsidR="00FB001A" w:rsidRDefault="00F310B5" w:rsidP="00AA5140">
      <w:pPr>
        <w:numPr>
          <w:ilvl w:val="0"/>
          <w:numId w:val="2"/>
        </w:numPr>
        <w:spacing w:after="0" w:line="240" w:lineRule="auto"/>
        <w:jc w:val="both"/>
        <w:rPr>
          <w:rFonts w:ascii="Times New Roman" w:hAnsi="Times New Roman"/>
        </w:rPr>
      </w:pPr>
      <w:r w:rsidRPr="00FB001A">
        <w:rPr>
          <w:rFonts w:ascii="Times New Roman" w:hAnsi="Times New Roman"/>
        </w:rPr>
        <w:t xml:space="preserve">To understand, how efficiently feed can convert to product by just changing the design of reactor. </w:t>
      </w:r>
    </w:p>
    <w:p w:rsidR="004E46A2" w:rsidRPr="00FB001A" w:rsidRDefault="00F310B5" w:rsidP="00AA5140">
      <w:pPr>
        <w:numPr>
          <w:ilvl w:val="0"/>
          <w:numId w:val="2"/>
        </w:numPr>
        <w:spacing w:after="0" w:line="240" w:lineRule="auto"/>
        <w:jc w:val="both"/>
        <w:rPr>
          <w:rFonts w:ascii="Times New Roman" w:hAnsi="Times New Roman"/>
        </w:rPr>
      </w:pPr>
      <w:r w:rsidRPr="00FB001A">
        <w:rPr>
          <w:rFonts w:ascii="Times New Roman" w:hAnsi="Times New Roman"/>
        </w:rPr>
        <w:t xml:space="preserve">It </w:t>
      </w:r>
      <w:r w:rsidR="00FB001A">
        <w:rPr>
          <w:rFonts w:ascii="Times New Roman" w:hAnsi="Times New Roman"/>
        </w:rPr>
        <w:t xml:space="preserve">also gives </w:t>
      </w:r>
      <w:r w:rsidR="004E46A2" w:rsidRPr="00FB001A">
        <w:rPr>
          <w:rFonts w:ascii="Times New Roman" w:hAnsi="Times New Roman"/>
        </w:rPr>
        <w:t>the knowledge to what kind of reactor system is to be used for what situation.</w:t>
      </w:r>
    </w:p>
    <w:p w:rsidR="004E46A2" w:rsidRPr="00730C00" w:rsidRDefault="004E46A2" w:rsidP="004E46A2">
      <w:pPr>
        <w:numPr>
          <w:ilvl w:val="0"/>
          <w:numId w:val="2"/>
        </w:numPr>
        <w:spacing w:after="0" w:line="240" w:lineRule="auto"/>
        <w:jc w:val="both"/>
        <w:rPr>
          <w:rFonts w:ascii="Times New Roman" w:hAnsi="Times New Roman"/>
        </w:rPr>
      </w:pPr>
      <w:r>
        <w:rPr>
          <w:rFonts w:ascii="Times New Roman" w:hAnsi="Times New Roman"/>
        </w:rPr>
        <w:t>Student will be able to analyze the kinetic related data to find the size of reactor for a specific reaction</w:t>
      </w:r>
    </w:p>
    <w:p w:rsidR="004E46A2" w:rsidRPr="00FB001A" w:rsidRDefault="004E46A2" w:rsidP="00FB001A">
      <w:pPr>
        <w:numPr>
          <w:ilvl w:val="0"/>
          <w:numId w:val="2"/>
        </w:numPr>
        <w:spacing w:after="0" w:line="240" w:lineRule="auto"/>
        <w:jc w:val="both"/>
        <w:rPr>
          <w:rFonts w:ascii="Times New Roman" w:hAnsi="Times New Roman"/>
        </w:rPr>
      </w:pPr>
      <w:r w:rsidRPr="00730C00">
        <w:rPr>
          <w:rFonts w:ascii="Times New Roman" w:hAnsi="Times New Roman"/>
        </w:rPr>
        <w:t xml:space="preserve">Lab exposer will help to know the </w:t>
      </w:r>
      <w:r>
        <w:rPr>
          <w:rFonts w:ascii="Times New Roman" w:hAnsi="Times New Roman"/>
        </w:rPr>
        <w:t>how to find the reaction kinetics of an unknown system</w:t>
      </w:r>
    </w:p>
    <w:p w:rsidR="00237C83" w:rsidRDefault="00FF6F51">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0"/>
          <w:szCs w:val="20"/>
        </w:rPr>
        <w:t>Text Books</w:t>
      </w:r>
    </w:p>
    <w:p w:rsidR="00237C83" w:rsidRDefault="00237C83">
      <w:pPr>
        <w:widowControl w:val="0"/>
        <w:autoSpaceDE w:val="0"/>
        <w:autoSpaceDN w:val="0"/>
        <w:adjustRightInd w:val="0"/>
        <w:spacing w:after="0" w:line="105" w:lineRule="exact"/>
        <w:rPr>
          <w:rFonts w:ascii="Times New Roman" w:hAnsi="Times New Roman"/>
          <w:sz w:val="24"/>
          <w:szCs w:val="24"/>
        </w:rPr>
      </w:pPr>
    </w:p>
    <w:p w:rsidR="00237C83" w:rsidRDefault="00FF6F51">
      <w:pPr>
        <w:widowControl w:val="0"/>
        <w:tabs>
          <w:tab w:val="left" w:pos="820"/>
        </w:tabs>
        <w:overflowPunct w:val="0"/>
        <w:autoSpaceDE w:val="0"/>
        <w:autoSpaceDN w:val="0"/>
        <w:adjustRightInd w:val="0"/>
        <w:spacing w:after="0" w:line="239" w:lineRule="auto"/>
        <w:ind w:left="840" w:right="120" w:hanging="720"/>
        <w:jc w:val="both"/>
        <w:rPr>
          <w:rFonts w:ascii="Times New Roman" w:hAnsi="Times New Roman"/>
          <w:sz w:val="24"/>
          <w:szCs w:val="24"/>
        </w:rPr>
      </w:pPr>
      <w:r>
        <w:rPr>
          <w:rFonts w:ascii="Times New Roman" w:hAnsi="Times New Roman"/>
          <w:b/>
          <w:bCs/>
          <w:sz w:val="20"/>
          <w:szCs w:val="20"/>
        </w:rPr>
        <w:t>T1</w:t>
      </w:r>
      <w:r>
        <w:rPr>
          <w:rFonts w:ascii="Times New Roman" w:hAnsi="Times New Roman"/>
          <w:sz w:val="24"/>
          <w:szCs w:val="24"/>
        </w:rPr>
        <w:tab/>
      </w:r>
      <w:proofErr w:type="spellStart"/>
      <w:r>
        <w:rPr>
          <w:rFonts w:ascii="Times New Roman" w:hAnsi="Times New Roman"/>
          <w:sz w:val="20"/>
          <w:szCs w:val="20"/>
        </w:rPr>
        <w:t>Levenspiel</w:t>
      </w:r>
      <w:proofErr w:type="spellEnd"/>
      <w:r>
        <w:rPr>
          <w:rFonts w:ascii="Times New Roman" w:hAnsi="Times New Roman"/>
          <w:sz w:val="20"/>
          <w:szCs w:val="20"/>
        </w:rPr>
        <w:t xml:space="preserve">, Octave, </w:t>
      </w:r>
      <w:r>
        <w:rPr>
          <w:rFonts w:ascii="Times New Roman" w:hAnsi="Times New Roman"/>
          <w:i/>
          <w:iCs/>
          <w:sz w:val="20"/>
          <w:szCs w:val="20"/>
        </w:rPr>
        <w:t>Chemical Reaction Engineering</w:t>
      </w:r>
      <w:r>
        <w:rPr>
          <w:rFonts w:ascii="Times New Roman" w:hAnsi="Times New Roman"/>
          <w:sz w:val="20"/>
          <w:szCs w:val="20"/>
        </w:rPr>
        <w:t>, Wiley India Pvt. Ltd., New Delhi, 3</w:t>
      </w:r>
      <w:r>
        <w:rPr>
          <w:rFonts w:ascii="Times New Roman" w:hAnsi="Times New Roman"/>
          <w:sz w:val="25"/>
          <w:szCs w:val="25"/>
          <w:vertAlign w:val="superscript"/>
        </w:rPr>
        <w:t>rd</w:t>
      </w:r>
      <w:r>
        <w:rPr>
          <w:rFonts w:ascii="Times New Roman" w:hAnsi="Times New Roman"/>
          <w:sz w:val="20"/>
          <w:szCs w:val="20"/>
        </w:rPr>
        <w:t xml:space="preserve"> Edition, 2000 </w:t>
      </w:r>
      <w:proofErr w:type="gramStart"/>
      <w:r>
        <w:rPr>
          <w:rFonts w:ascii="Times New Roman" w:hAnsi="Times New Roman"/>
          <w:sz w:val="20"/>
          <w:szCs w:val="20"/>
        </w:rPr>
        <w:t>( or</w:t>
      </w:r>
      <w:proofErr w:type="gramEnd"/>
      <w:r>
        <w:rPr>
          <w:rFonts w:ascii="Times New Roman" w:hAnsi="Times New Roman"/>
          <w:sz w:val="20"/>
          <w:szCs w:val="20"/>
        </w:rPr>
        <w:t xml:space="preserve"> higher edition if available!).</w:t>
      </w:r>
    </w:p>
    <w:p w:rsidR="00237C83" w:rsidRDefault="00237C83">
      <w:pPr>
        <w:widowControl w:val="0"/>
        <w:autoSpaceDE w:val="0"/>
        <w:autoSpaceDN w:val="0"/>
        <w:adjustRightInd w:val="0"/>
        <w:spacing w:after="0" w:line="95" w:lineRule="exact"/>
        <w:rPr>
          <w:rFonts w:ascii="Times New Roman" w:hAnsi="Times New Roman"/>
          <w:sz w:val="24"/>
          <w:szCs w:val="24"/>
        </w:rPr>
      </w:pPr>
    </w:p>
    <w:p w:rsidR="00237C83" w:rsidRDefault="00FF6F51">
      <w:pPr>
        <w:widowControl w:val="0"/>
        <w:tabs>
          <w:tab w:val="left" w:pos="820"/>
        </w:tabs>
        <w:overflowPunct w:val="0"/>
        <w:autoSpaceDE w:val="0"/>
        <w:autoSpaceDN w:val="0"/>
        <w:adjustRightInd w:val="0"/>
        <w:spacing w:after="0" w:line="293" w:lineRule="auto"/>
        <w:ind w:left="840" w:right="100" w:hanging="720"/>
        <w:jc w:val="both"/>
        <w:rPr>
          <w:rFonts w:ascii="Times New Roman" w:hAnsi="Times New Roman"/>
          <w:sz w:val="24"/>
          <w:szCs w:val="24"/>
        </w:rPr>
      </w:pPr>
      <w:r>
        <w:rPr>
          <w:rFonts w:ascii="Times New Roman" w:hAnsi="Times New Roman"/>
          <w:b/>
          <w:bCs/>
          <w:sz w:val="20"/>
          <w:szCs w:val="20"/>
        </w:rPr>
        <w:t>T2</w:t>
      </w:r>
      <w:r>
        <w:rPr>
          <w:rFonts w:ascii="Times New Roman" w:hAnsi="Times New Roman"/>
          <w:sz w:val="24"/>
          <w:szCs w:val="24"/>
        </w:rPr>
        <w:tab/>
      </w:r>
      <w:proofErr w:type="spellStart"/>
      <w:r>
        <w:rPr>
          <w:rFonts w:ascii="Times New Roman" w:hAnsi="Times New Roman"/>
          <w:sz w:val="20"/>
          <w:szCs w:val="20"/>
        </w:rPr>
        <w:t>Fogler</w:t>
      </w:r>
      <w:proofErr w:type="spellEnd"/>
      <w:r>
        <w:rPr>
          <w:rFonts w:ascii="Times New Roman" w:hAnsi="Times New Roman"/>
          <w:sz w:val="20"/>
          <w:szCs w:val="20"/>
        </w:rPr>
        <w:t xml:space="preserve">, H. Scott, </w:t>
      </w:r>
      <w:r>
        <w:rPr>
          <w:rFonts w:ascii="Times New Roman" w:hAnsi="Times New Roman"/>
          <w:i/>
          <w:iCs/>
          <w:sz w:val="20"/>
          <w:szCs w:val="20"/>
        </w:rPr>
        <w:t>Elements of Chemical Reaction Engineering</w:t>
      </w:r>
      <w:r>
        <w:rPr>
          <w:rFonts w:ascii="Times New Roman" w:hAnsi="Times New Roman"/>
          <w:sz w:val="20"/>
          <w:szCs w:val="20"/>
        </w:rPr>
        <w:t>, Prentice Hall of India Pvt. Ltd., New Delhi, 4</w:t>
      </w:r>
      <w:r>
        <w:rPr>
          <w:rFonts w:ascii="Times New Roman" w:hAnsi="Times New Roman"/>
          <w:sz w:val="25"/>
          <w:szCs w:val="25"/>
          <w:vertAlign w:val="superscript"/>
        </w:rPr>
        <w:t>th</w:t>
      </w:r>
      <w:r>
        <w:rPr>
          <w:rFonts w:ascii="Times New Roman" w:hAnsi="Times New Roman"/>
          <w:sz w:val="20"/>
          <w:szCs w:val="20"/>
        </w:rPr>
        <w:t xml:space="preserve"> Ed., 2006 </w:t>
      </w:r>
      <w:proofErr w:type="gramStart"/>
      <w:r>
        <w:rPr>
          <w:rFonts w:ascii="Times New Roman" w:hAnsi="Times New Roman"/>
          <w:sz w:val="20"/>
          <w:szCs w:val="20"/>
        </w:rPr>
        <w:t>( or</w:t>
      </w:r>
      <w:proofErr w:type="gramEnd"/>
      <w:r>
        <w:rPr>
          <w:rFonts w:ascii="Times New Roman" w:hAnsi="Times New Roman"/>
          <w:sz w:val="20"/>
          <w:szCs w:val="20"/>
        </w:rPr>
        <w:t xml:space="preserve"> higher edition if available! ).</w:t>
      </w:r>
    </w:p>
    <w:p w:rsidR="00237C83" w:rsidRDefault="00237C83">
      <w:pPr>
        <w:widowControl w:val="0"/>
        <w:autoSpaceDE w:val="0"/>
        <w:autoSpaceDN w:val="0"/>
        <w:adjustRightInd w:val="0"/>
        <w:spacing w:after="0" w:line="74" w:lineRule="exact"/>
        <w:rPr>
          <w:rFonts w:ascii="Times New Roman" w:hAnsi="Times New Roman"/>
          <w:sz w:val="24"/>
          <w:szCs w:val="24"/>
        </w:rPr>
      </w:pPr>
    </w:p>
    <w:p w:rsidR="00237C83" w:rsidRDefault="00FF6F51">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0"/>
          <w:szCs w:val="20"/>
        </w:rPr>
        <w:t>Reference Books</w:t>
      </w:r>
    </w:p>
    <w:p w:rsidR="00237C83" w:rsidRDefault="00237C83">
      <w:pPr>
        <w:widowControl w:val="0"/>
        <w:autoSpaceDE w:val="0"/>
        <w:autoSpaceDN w:val="0"/>
        <w:adjustRightInd w:val="0"/>
        <w:spacing w:after="0" w:line="138" w:lineRule="exact"/>
        <w:rPr>
          <w:rFonts w:ascii="Times New Roman" w:hAnsi="Times New Roman"/>
          <w:sz w:val="24"/>
          <w:szCs w:val="24"/>
        </w:rPr>
      </w:pPr>
    </w:p>
    <w:p w:rsidR="000A42AB" w:rsidRPr="00CD35C0" w:rsidRDefault="00BD08CE">
      <w:pPr>
        <w:widowControl w:val="0"/>
        <w:tabs>
          <w:tab w:val="left" w:pos="820"/>
        </w:tabs>
        <w:overflowPunct w:val="0"/>
        <w:autoSpaceDE w:val="0"/>
        <w:autoSpaceDN w:val="0"/>
        <w:adjustRightInd w:val="0"/>
        <w:spacing w:after="0" w:line="280" w:lineRule="auto"/>
        <w:ind w:left="840" w:right="120" w:hanging="720"/>
        <w:jc w:val="both"/>
        <w:rPr>
          <w:rFonts w:ascii="Times New Roman" w:hAnsi="Times New Roman"/>
          <w:sz w:val="20"/>
          <w:szCs w:val="20"/>
        </w:rPr>
      </w:pPr>
      <w:r>
        <w:rPr>
          <w:rFonts w:ascii="Times New Roman" w:hAnsi="Times New Roman"/>
          <w:b/>
          <w:bCs/>
          <w:sz w:val="20"/>
          <w:szCs w:val="20"/>
        </w:rPr>
        <w:t>R1</w:t>
      </w:r>
      <w:r w:rsidR="00FF6F51">
        <w:rPr>
          <w:rFonts w:ascii="Times New Roman" w:hAnsi="Times New Roman"/>
          <w:sz w:val="24"/>
          <w:szCs w:val="24"/>
        </w:rPr>
        <w:tab/>
      </w:r>
      <w:proofErr w:type="spellStart"/>
      <w:r w:rsidR="00FF6F51">
        <w:rPr>
          <w:rFonts w:ascii="Times New Roman" w:hAnsi="Times New Roman"/>
          <w:sz w:val="20"/>
          <w:szCs w:val="20"/>
        </w:rPr>
        <w:t>Salmi</w:t>
      </w:r>
      <w:proofErr w:type="spellEnd"/>
      <w:r w:rsidR="00FF6F51">
        <w:rPr>
          <w:rFonts w:ascii="Times New Roman" w:hAnsi="Times New Roman"/>
          <w:sz w:val="20"/>
          <w:szCs w:val="20"/>
        </w:rPr>
        <w:t xml:space="preserve">, </w:t>
      </w:r>
      <w:proofErr w:type="spellStart"/>
      <w:r w:rsidR="00FF6F51">
        <w:rPr>
          <w:rFonts w:ascii="Times New Roman" w:hAnsi="Times New Roman"/>
          <w:sz w:val="20"/>
          <w:szCs w:val="20"/>
        </w:rPr>
        <w:t>Tapio</w:t>
      </w:r>
      <w:proofErr w:type="spellEnd"/>
      <w:r w:rsidR="00FF6F51">
        <w:rPr>
          <w:rFonts w:ascii="Times New Roman" w:hAnsi="Times New Roman"/>
          <w:sz w:val="20"/>
          <w:szCs w:val="20"/>
        </w:rPr>
        <w:t xml:space="preserve"> O., </w:t>
      </w:r>
      <w:proofErr w:type="spellStart"/>
      <w:r w:rsidR="00FF6F51">
        <w:rPr>
          <w:rFonts w:ascii="Times New Roman" w:hAnsi="Times New Roman"/>
          <w:sz w:val="20"/>
          <w:szCs w:val="20"/>
        </w:rPr>
        <w:t>Jyri-Pekka</w:t>
      </w:r>
      <w:proofErr w:type="spellEnd"/>
      <w:r w:rsidR="00FF6F51">
        <w:rPr>
          <w:rFonts w:ascii="Times New Roman" w:hAnsi="Times New Roman"/>
          <w:sz w:val="20"/>
          <w:szCs w:val="20"/>
        </w:rPr>
        <w:t xml:space="preserve"> M. and Johan P,W., </w:t>
      </w:r>
      <w:r w:rsidR="00FF6F51">
        <w:rPr>
          <w:rFonts w:ascii="Times New Roman" w:hAnsi="Times New Roman"/>
          <w:i/>
          <w:iCs/>
          <w:sz w:val="20"/>
          <w:szCs w:val="20"/>
        </w:rPr>
        <w:t>Chemical Reaction Engineering and ReactorTechnology</w:t>
      </w:r>
      <w:r w:rsidR="00FF6F51">
        <w:rPr>
          <w:rFonts w:ascii="Times New Roman" w:hAnsi="Times New Roman"/>
          <w:sz w:val="20"/>
          <w:szCs w:val="20"/>
        </w:rPr>
        <w:t>, CRC Press, Taylor &amp;Francis, New York, 2011( or higher edition if available! ).</w:t>
      </w:r>
    </w:p>
    <w:p w:rsidR="00E33792" w:rsidRDefault="00E33792" w:rsidP="00E33792">
      <w:pPr>
        <w:widowControl w:val="0"/>
        <w:autoSpaceDE w:val="0"/>
        <w:autoSpaceDN w:val="0"/>
        <w:adjustRightInd w:val="0"/>
        <w:spacing w:after="0" w:line="240" w:lineRule="auto"/>
        <w:ind w:left="120"/>
        <w:rPr>
          <w:rFonts w:ascii="Times New Roman" w:hAnsi="Times New Roman"/>
          <w:b/>
          <w:bCs/>
          <w:sz w:val="20"/>
          <w:szCs w:val="20"/>
        </w:rPr>
      </w:pPr>
    </w:p>
    <w:p w:rsidR="00E33792" w:rsidRDefault="00E33792" w:rsidP="00E33792">
      <w:pPr>
        <w:widowControl w:val="0"/>
        <w:autoSpaceDE w:val="0"/>
        <w:autoSpaceDN w:val="0"/>
        <w:adjustRightInd w:val="0"/>
        <w:spacing w:after="0" w:line="240" w:lineRule="auto"/>
        <w:ind w:left="120"/>
        <w:rPr>
          <w:rFonts w:ascii="Times New Roman" w:hAnsi="Times New Roman"/>
          <w:b/>
          <w:bCs/>
          <w:sz w:val="20"/>
          <w:szCs w:val="20"/>
        </w:rPr>
      </w:pPr>
      <w:r w:rsidRPr="008C40E2">
        <w:rPr>
          <w:rFonts w:ascii="Times New Roman" w:hAnsi="Times New Roman"/>
          <w:b/>
          <w:bCs/>
          <w:sz w:val="20"/>
          <w:szCs w:val="20"/>
        </w:rPr>
        <w:t>Course Plan</w:t>
      </w:r>
    </w:p>
    <w:p w:rsidR="000A42AB" w:rsidRDefault="000A42AB">
      <w:pPr>
        <w:widowControl w:val="0"/>
        <w:tabs>
          <w:tab w:val="left" w:pos="820"/>
        </w:tabs>
        <w:overflowPunct w:val="0"/>
        <w:autoSpaceDE w:val="0"/>
        <w:autoSpaceDN w:val="0"/>
        <w:adjustRightInd w:val="0"/>
        <w:spacing w:after="0" w:line="280" w:lineRule="auto"/>
        <w:ind w:left="840" w:right="120" w:hanging="720"/>
        <w:jc w:val="both"/>
        <w:rPr>
          <w:rFonts w:ascii="Times New Roman" w:hAnsi="Times New Roman"/>
          <w:sz w:val="24"/>
          <w:szCs w:val="24"/>
        </w:rPr>
      </w:pPr>
    </w:p>
    <w:tbl>
      <w:tblPr>
        <w:tblStyle w:val="TableGrid"/>
        <w:tblW w:w="9456" w:type="dxa"/>
        <w:tblLayout w:type="fixed"/>
        <w:tblLook w:val="04A0" w:firstRow="1" w:lastRow="0" w:firstColumn="1" w:lastColumn="0" w:noHBand="0" w:noVBand="1"/>
      </w:tblPr>
      <w:tblGrid>
        <w:gridCol w:w="1008"/>
        <w:gridCol w:w="3690"/>
        <w:gridCol w:w="2610"/>
        <w:gridCol w:w="2148"/>
      </w:tblGrid>
      <w:tr w:rsidR="00E33792" w:rsidRPr="00AD704C" w:rsidTr="002B39F5">
        <w:tc>
          <w:tcPr>
            <w:tcW w:w="1008" w:type="dxa"/>
          </w:tcPr>
          <w:p w:rsidR="00E33792" w:rsidRPr="00AD704C" w:rsidRDefault="00E33792" w:rsidP="00E33792">
            <w:pPr>
              <w:widowControl w:val="0"/>
              <w:tabs>
                <w:tab w:val="left" w:pos="820"/>
              </w:tabs>
              <w:overflowPunct w:val="0"/>
              <w:autoSpaceDE w:val="0"/>
              <w:autoSpaceDN w:val="0"/>
              <w:adjustRightInd w:val="0"/>
              <w:spacing w:after="0"/>
              <w:ind w:right="120"/>
              <w:jc w:val="center"/>
              <w:rPr>
                <w:rFonts w:ascii="Times New Roman" w:hAnsi="Times New Roman"/>
                <w:b/>
                <w:sz w:val="20"/>
                <w:szCs w:val="20"/>
              </w:rPr>
            </w:pPr>
            <w:r w:rsidRPr="00AD704C">
              <w:rPr>
                <w:rFonts w:ascii="Times New Roman" w:hAnsi="Times New Roman"/>
                <w:b/>
                <w:sz w:val="20"/>
                <w:szCs w:val="20"/>
              </w:rPr>
              <w:t>Lecture No.</w:t>
            </w:r>
          </w:p>
        </w:tc>
        <w:tc>
          <w:tcPr>
            <w:tcW w:w="3690" w:type="dxa"/>
          </w:tcPr>
          <w:p w:rsidR="00E33792" w:rsidRPr="00AD704C" w:rsidRDefault="00E33792" w:rsidP="00E33792">
            <w:pPr>
              <w:widowControl w:val="0"/>
              <w:tabs>
                <w:tab w:val="left" w:pos="820"/>
              </w:tabs>
              <w:overflowPunct w:val="0"/>
              <w:autoSpaceDE w:val="0"/>
              <w:autoSpaceDN w:val="0"/>
              <w:adjustRightInd w:val="0"/>
              <w:spacing w:after="0"/>
              <w:ind w:right="120"/>
              <w:jc w:val="center"/>
              <w:rPr>
                <w:rFonts w:ascii="Times New Roman" w:hAnsi="Times New Roman"/>
                <w:b/>
                <w:sz w:val="20"/>
                <w:szCs w:val="20"/>
              </w:rPr>
            </w:pPr>
            <w:r w:rsidRPr="00AD704C">
              <w:rPr>
                <w:rFonts w:ascii="Times New Roman" w:hAnsi="Times New Roman"/>
                <w:b/>
                <w:sz w:val="20"/>
                <w:szCs w:val="20"/>
              </w:rPr>
              <w:t>Learning Objectives</w:t>
            </w:r>
          </w:p>
        </w:tc>
        <w:tc>
          <w:tcPr>
            <w:tcW w:w="2610" w:type="dxa"/>
          </w:tcPr>
          <w:p w:rsidR="00E33792" w:rsidRPr="00AD704C" w:rsidRDefault="00E33792" w:rsidP="00E33792">
            <w:pPr>
              <w:widowControl w:val="0"/>
              <w:tabs>
                <w:tab w:val="left" w:pos="820"/>
              </w:tabs>
              <w:overflowPunct w:val="0"/>
              <w:autoSpaceDE w:val="0"/>
              <w:autoSpaceDN w:val="0"/>
              <w:adjustRightInd w:val="0"/>
              <w:spacing w:after="0"/>
              <w:ind w:right="120"/>
              <w:jc w:val="center"/>
              <w:rPr>
                <w:rFonts w:ascii="Times New Roman" w:hAnsi="Times New Roman"/>
                <w:b/>
                <w:sz w:val="20"/>
                <w:szCs w:val="20"/>
              </w:rPr>
            </w:pPr>
            <w:r w:rsidRPr="00AD704C">
              <w:rPr>
                <w:rFonts w:ascii="Times New Roman" w:hAnsi="Times New Roman"/>
                <w:b/>
                <w:sz w:val="20"/>
                <w:szCs w:val="20"/>
              </w:rPr>
              <w:t>Topics to be covered</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center"/>
              <w:rPr>
                <w:rFonts w:ascii="Times New Roman" w:hAnsi="Times New Roman"/>
                <w:b/>
                <w:sz w:val="20"/>
                <w:szCs w:val="20"/>
              </w:rPr>
            </w:pPr>
            <w:r w:rsidRPr="00AD704C">
              <w:rPr>
                <w:rFonts w:ascii="Times New Roman" w:hAnsi="Times New Roman"/>
                <w:b/>
                <w:sz w:val="20"/>
                <w:szCs w:val="20"/>
              </w:rPr>
              <w:t>Reference</w:t>
            </w:r>
          </w:p>
        </w:tc>
      </w:tr>
      <w:tr w:rsidR="00E33792" w:rsidRPr="00AD704C" w:rsidTr="002B39F5">
        <w:tc>
          <w:tcPr>
            <w:tcW w:w="1008" w:type="dxa"/>
          </w:tcPr>
          <w:p w:rsidR="00E33792" w:rsidRPr="00AD704C" w:rsidRDefault="002B39F5"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Pr>
                <w:rFonts w:ascii="Times New Roman" w:hAnsi="Times New Roman"/>
                <w:sz w:val="20"/>
                <w:szCs w:val="20"/>
              </w:rPr>
              <w:t>1-6</w:t>
            </w:r>
          </w:p>
        </w:tc>
        <w:tc>
          <w:tcPr>
            <w:tcW w:w="3690"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Review of chemical kinetics and ideal reactor concepts and ideal reactor designs, conversion and sizing of ideal reactors including multiple reactors in series or parallel</w:t>
            </w:r>
          </w:p>
        </w:tc>
        <w:tc>
          <w:tcPr>
            <w:tcW w:w="2610"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Review of kinetics and ideal reactors</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Pr>
                <w:rFonts w:ascii="Times New Roman" w:hAnsi="Times New Roman"/>
                <w:sz w:val="20"/>
                <w:szCs w:val="20"/>
              </w:rPr>
              <w:t>Chap No. 1-8</w:t>
            </w:r>
            <w:r w:rsidRPr="00AD704C">
              <w:rPr>
                <w:rFonts w:ascii="Times New Roman" w:hAnsi="Times New Roman"/>
                <w:sz w:val="20"/>
                <w:szCs w:val="20"/>
              </w:rPr>
              <w:t xml:space="preserve"> of T1</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1-3 of T2</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1-3 of R1</w:t>
            </w:r>
          </w:p>
        </w:tc>
      </w:tr>
      <w:tr w:rsidR="00E33792" w:rsidRPr="00AD704C" w:rsidTr="002B39F5">
        <w:tc>
          <w:tcPr>
            <w:tcW w:w="1008" w:type="dxa"/>
          </w:tcPr>
          <w:p w:rsidR="00E33792" w:rsidRPr="00AD704C" w:rsidRDefault="002B39F5"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Pr>
                <w:rFonts w:ascii="Times New Roman" w:hAnsi="Times New Roman"/>
                <w:sz w:val="20"/>
                <w:szCs w:val="20"/>
              </w:rPr>
              <w:t>7-10</w:t>
            </w:r>
          </w:p>
        </w:tc>
        <w:tc>
          <w:tcPr>
            <w:tcW w:w="3690" w:type="dxa"/>
          </w:tcPr>
          <w:p w:rsidR="00E33792" w:rsidRPr="00AD704C" w:rsidRDefault="00E33792" w:rsidP="002B39F5">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Reaction mechanisms, elementary and non-el</w:t>
            </w:r>
            <w:r w:rsidR="002B39F5">
              <w:rPr>
                <w:rFonts w:ascii="Times New Roman" w:hAnsi="Times New Roman"/>
                <w:sz w:val="20"/>
                <w:szCs w:val="20"/>
              </w:rPr>
              <w:t>ementary homogeneous reactions</w:t>
            </w:r>
            <w:r w:rsidRPr="00AD704C">
              <w:rPr>
                <w:rFonts w:ascii="Times New Roman" w:hAnsi="Times New Roman"/>
                <w:sz w:val="20"/>
                <w:szCs w:val="20"/>
              </w:rPr>
              <w:t>, order of reactions</w:t>
            </w:r>
          </w:p>
        </w:tc>
        <w:tc>
          <w:tcPr>
            <w:tcW w:w="2610"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Review of mechanism of reactions, order and effect on reactor design</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 of T1</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7 of T2</w:t>
            </w:r>
          </w:p>
        </w:tc>
      </w:tr>
      <w:tr w:rsidR="00E33792" w:rsidRPr="00AD704C" w:rsidTr="002B39F5">
        <w:tc>
          <w:tcPr>
            <w:tcW w:w="1008" w:type="dxa"/>
          </w:tcPr>
          <w:p w:rsidR="00E33792" w:rsidRPr="00AD704C" w:rsidRDefault="002B39F5" w:rsidP="00E33792">
            <w:pPr>
              <w:widowControl w:val="0"/>
              <w:autoSpaceDE w:val="0"/>
              <w:autoSpaceDN w:val="0"/>
              <w:adjustRightInd w:val="0"/>
              <w:spacing w:after="0"/>
              <w:jc w:val="both"/>
              <w:rPr>
                <w:rFonts w:ascii="Times New Roman" w:hAnsi="Times New Roman"/>
                <w:sz w:val="20"/>
                <w:szCs w:val="20"/>
              </w:rPr>
            </w:pPr>
            <w:r>
              <w:rPr>
                <w:rFonts w:ascii="Times New Roman" w:hAnsi="Times New Roman"/>
                <w:sz w:val="20"/>
                <w:szCs w:val="20"/>
              </w:rPr>
              <w:lastRenderedPageBreak/>
              <w:t>10-12</w:t>
            </w:r>
          </w:p>
        </w:tc>
        <w:tc>
          <w:tcPr>
            <w:tcW w:w="369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Laboratory reactors, collection and analysis of rate data, getting rate data</w:t>
            </w:r>
          </w:p>
        </w:tc>
        <w:tc>
          <w:tcPr>
            <w:tcW w:w="261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Rate models and rate expressions, Laboratory data analysis and Interpretation</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 of T1</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5 of T2</w:t>
            </w:r>
          </w:p>
        </w:tc>
      </w:tr>
      <w:tr w:rsidR="00E33792" w:rsidRPr="00AD704C" w:rsidTr="002B39F5">
        <w:tc>
          <w:tcPr>
            <w:tcW w:w="1008" w:type="dxa"/>
          </w:tcPr>
          <w:p w:rsidR="00E33792" w:rsidRPr="00AD704C" w:rsidRDefault="002B39F5" w:rsidP="00E33792">
            <w:pPr>
              <w:widowControl w:val="0"/>
              <w:autoSpaceDE w:val="0"/>
              <w:autoSpaceDN w:val="0"/>
              <w:adjustRightInd w:val="0"/>
              <w:spacing w:after="0"/>
              <w:jc w:val="both"/>
              <w:rPr>
                <w:rFonts w:ascii="Times New Roman" w:hAnsi="Times New Roman"/>
                <w:sz w:val="20"/>
                <w:szCs w:val="20"/>
              </w:rPr>
            </w:pPr>
            <w:r>
              <w:rPr>
                <w:rFonts w:ascii="Times New Roman" w:hAnsi="Times New Roman"/>
                <w:sz w:val="20"/>
                <w:szCs w:val="20"/>
              </w:rPr>
              <w:t>13-19</w:t>
            </w:r>
          </w:p>
        </w:tc>
        <w:tc>
          <w:tcPr>
            <w:tcW w:w="369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Multiple reactions – series parallel and effect on ideal reactor design</w:t>
            </w:r>
          </w:p>
        </w:tc>
        <w:tc>
          <w:tcPr>
            <w:tcW w:w="261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Multiple reactions</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7-8 of T1</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Pr>
                <w:rFonts w:ascii="Times New Roman" w:hAnsi="Times New Roman"/>
                <w:sz w:val="20"/>
                <w:szCs w:val="20"/>
              </w:rPr>
              <w:t>Chap No. 6</w:t>
            </w:r>
            <w:r w:rsidRPr="00AD704C">
              <w:rPr>
                <w:rFonts w:ascii="Times New Roman" w:hAnsi="Times New Roman"/>
                <w:sz w:val="20"/>
                <w:szCs w:val="20"/>
              </w:rPr>
              <w:t xml:space="preserve"> of T2</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4 of R1</w:t>
            </w:r>
          </w:p>
        </w:tc>
      </w:tr>
      <w:tr w:rsidR="00E33792" w:rsidRPr="00AD704C" w:rsidTr="002B39F5">
        <w:tc>
          <w:tcPr>
            <w:tcW w:w="1008" w:type="dxa"/>
          </w:tcPr>
          <w:p w:rsidR="00E33792" w:rsidRPr="00AD704C" w:rsidRDefault="002B39F5" w:rsidP="002B39F5">
            <w:pPr>
              <w:widowControl w:val="0"/>
              <w:autoSpaceDE w:val="0"/>
              <w:autoSpaceDN w:val="0"/>
              <w:adjustRightInd w:val="0"/>
              <w:spacing w:after="0"/>
              <w:jc w:val="both"/>
              <w:rPr>
                <w:rFonts w:ascii="Times New Roman" w:hAnsi="Times New Roman"/>
                <w:sz w:val="20"/>
                <w:szCs w:val="20"/>
              </w:rPr>
            </w:pPr>
            <w:r>
              <w:rPr>
                <w:rFonts w:ascii="Times New Roman" w:hAnsi="Times New Roman"/>
                <w:sz w:val="20"/>
                <w:szCs w:val="20"/>
              </w:rPr>
              <w:t>20-21</w:t>
            </w:r>
          </w:p>
        </w:tc>
        <w:tc>
          <w:tcPr>
            <w:tcW w:w="369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Temperature and pressure effects on single and multiple reactions</w:t>
            </w:r>
          </w:p>
        </w:tc>
        <w:tc>
          <w:tcPr>
            <w:tcW w:w="261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Effects of temperature and pressure</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9 of T1</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5 of R1</w:t>
            </w:r>
          </w:p>
        </w:tc>
      </w:tr>
      <w:tr w:rsidR="00E33792" w:rsidRPr="00AD704C" w:rsidTr="002B39F5">
        <w:tc>
          <w:tcPr>
            <w:tcW w:w="1008"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p>
        </w:tc>
        <w:tc>
          <w:tcPr>
            <w:tcW w:w="369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p>
        </w:tc>
        <w:tc>
          <w:tcPr>
            <w:tcW w:w="261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p>
        </w:tc>
      </w:tr>
      <w:tr w:rsidR="00E33792" w:rsidRPr="00AD704C" w:rsidTr="002B39F5">
        <w:tc>
          <w:tcPr>
            <w:tcW w:w="1008" w:type="dxa"/>
          </w:tcPr>
          <w:p w:rsidR="00E33792" w:rsidRPr="00AD704C" w:rsidRDefault="002B39F5" w:rsidP="00E33792">
            <w:pPr>
              <w:widowControl w:val="0"/>
              <w:autoSpaceDE w:val="0"/>
              <w:autoSpaceDN w:val="0"/>
              <w:adjustRightInd w:val="0"/>
              <w:spacing w:after="0"/>
              <w:jc w:val="both"/>
              <w:rPr>
                <w:rFonts w:ascii="Times New Roman" w:hAnsi="Times New Roman"/>
                <w:sz w:val="20"/>
                <w:szCs w:val="20"/>
              </w:rPr>
            </w:pPr>
            <w:r>
              <w:rPr>
                <w:rFonts w:ascii="Times New Roman" w:hAnsi="Times New Roman"/>
                <w:sz w:val="20"/>
                <w:szCs w:val="20"/>
              </w:rPr>
              <w:t>22-24</w:t>
            </w:r>
          </w:p>
        </w:tc>
        <w:tc>
          <w:tcPr>
            <w:tcW w:w="369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Catalysis and Catalytic reactors, catalyst deactivation, fouling, poisons, mitigations</w:t>
            </w:r>
          </w:p>
        </w:tc>
        <w:tc>
          <w:tcPr>
            <w:tcW w:w="261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Heterogeneous catalysis introduction</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17-19 of T1</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Pr>
                <w:rFonts w:ascii="Times New Roman" w:hAnsi="Times New Roman"/>
                <w:sz w:val="20"/>
                <w:szCs w:val="20"/>
              </w:rPr>
              <w:t>Chap No. 10</w:t>
            </w:r>
            <w:r w:rsidRPr="00AD704C">
              <w:rPr>
                <w:rFonts w:ascii="Times New Roman" w:hAnsi="Times New Roman"/>
                <w:sz w:val="20"/>
                <w:szCs w:val="20"/>
              </w:rPr>
              <w:t xml:space="preserve"> of T2</w:t>
            </w:r>
          </w:p>
        </w:tc>
      </w:tr>
      <w:tr w:rsidR="00E33792" w:rsidRPr="00AD704C" w:rsidTr="002B39F5">
        <w:tc>
          <w:tcPr>
            <w:tcW w:w="1008" w:type="dxa"/>
          </w:tcPr>
          <w:p w:rsidR="00E33792" w:rsidRPr="00AD704C" w:rsidRDefault="002B39F5" w:rsidP="002B39F5">
            <w:pPr>
              <w:widowControl w:val="0"/>
              <w:autoSpaceDE w:val="0"/>
              <w:autoSpaceDN w:val="0"/>
              <w:adjustRightInd w:val="0"/>
              <w:spacing w:after="0"/>
              <w:jc w:val="both"/>
              <w:rPr>
                <w:rFonts w:ascii="Times New Roman" w:hAnsi="Times New Roman"/>
                <w:sz w:val="20"/>
                <w:szCs w:val="20"/>
              </w:rPr>
            </w:pPr>
            <w:r>
              <w:rPr>
                <w:rFonts w:ascii="Times New Roman" w:hAnsi="Times New Roman"/>
                <w:sz w:val="20"/>
                <w:szCs w:val="20"/>
              </w:rPr>
              <w:t>25</w:t>
            </w:r>
            <w:r w:rsidR="00E33792" w:rsidRPr="00AD704C">
              <w:rPr>
                <w:rFonts w:ascii="Times New Roman" w:hAnsi="Times New Roman"/>
                <w:sz w:val="20"/>
                <w:szCs w:val="20"/>
              </w:rPr>
              <w:t>-</w:t>
            </w:r>
            <w:r>
              <w:rPr>
                <w:rFonts w:ascii="Times New Roman" w:hAnsi="Times New Roman"/>
                <w:sz w:val="20"/>
                <w:szCs w:val="20"/>
              </w:rPr>
              <w:t>29</w:t>
            </w:r>
          </w:p>
        </w:tc>
        <w:tc>
          <w:tcPr>
            <w:tcW w:w="369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Packed bed catalytic reactors and external and internal diffusion</w:t>
            </w:r>
          </w:p>
        </w:tc>
        <w:tc>
          <w:tcPr>
            <w:tcW w:w="261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 xml:space="preserve">Heterogeneous catalysis with mass transfer </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19 of T1</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10-11 of T2</w:t>
            </w:r>
          </w:p>
        </w:tc>
      </w:tr>
      <w:tr w:rsidR="00E33792" w:rsidRPr="00AD704C" w:rsidTr="002B39F5">
        <w:tc>
          <w:tcPr>
            <w:tcW w:w="1008" w:type="dxa"/>
          </w:tcPr>
          <w:p w:rsidR="00E33792" w:rsidRPr="00AD704C" w:rsidRDefault="002B39F5" w:rsidP="00E33792">
            <w:pPr>
              <w:widowControl w:val="0"/>
              <w:autoSpaceDE w:val="0"/>
              <w:autoSpaceDN w:val="0"/>
              <w:adjustRightInd w:val="0"/>
              <w:spacing w:after="0"/>
              <w:jc w:val="both"/>
              <w:rPr>
                <w:rFonts w:ascii="Times New Roman" w:hAnsi="Times New Roman"/>
                <w:sz w:val="20"/>
                <w:szCs w:val="20"/>
              </w:rPr>
            </w:pPr>
            <w:r>
              <w:rPr>
                <w:rFonts w:ascii="Times New Roman" w:hAnsi="Times New Roman"/>
                <w:sz w:val="20"/>
                <w:szCs w:val="20"/>
              </w:rPr>
              <w:t>30-32</w:t>
            </w:r>
          </w:p>
        </w:tc>
        <w:tc>
          <w:tcPr>
            <w:tcW w:w="369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Multiphase reactors including gas solid and liquid slurry, bubble columns and fluid bed reactors, trickle bed reactors</w:t>
            </w:r>
          </w:p>
        </w:tc>
        <w:tc>
          <w:tcPr>
            <w:tcW w:w="261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Multiphase catalytic reactors</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20-22 of T1</w:t>
            </w:r>
          </w:p>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12 of T2</w:t>
            </w:r>
          </w:p>
        </w:tc>
      </w:tr>
      <w:tr w:rsidR="00E33792" w:rsidRPr="00AD704C" w:rsidTr="002B39F5">
        <w:tc>
          <w:tcPr>
            <w:tcW w:w="1008" w:type="dxa"/>
          </w:tcPr>
          <w:p w:rsidR="00E33792" w:rsidRPr="00AD704C" w:rsidRDefault="002B39F5" w:rsidP="00E33792">
            <w:pPr>
              <w:widowControl w:val="0"/>
              <w:autoSpaceDE w:val="0"/>
              <w:autoSpaceDN w:val="0"/>
              <w:adjustRightInd w:val="0"/>
              <w:spacing w:after="0"/>
              <w:jc w:val="both"/>
              <w:rPr>
                <w:rFonts w:ascii="Times New Roman" w:hAnsi="Times New Roman"/>
                <w:sz w:val="20"/>
                <w:szCs w:val="20"/>
              </w:rPr>
            </w:pPr>
            <w:r>
              <w:rPr>
                <w:rFonts w:ascii="Times New Roman" w:hAnsi="Times New Roman"/>
                <w:sz w:val="20"/>
                <w:szCs w:val="20"/>
              </w:rPr>
              <w:t>33-35</w:t>
            </w:r>
          </w:p>
        </w:tc>
        <w:tc>
          <w:tcPr>
            <w:tcW w:w="369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Non-Catalytic systems, fluid-fluid, fluid-particle kinetics and reactor design</w:t>
            </w:r>
          </w:p>
        </w:tc>
        <w:tc>
          <w:tcPr>
            <w:tcW w:w="2610" w:type="dxa"/>
          </w:tcPr>
          <w:p w:rsidR="00E33792" w:rsidRPr="00AD704C" w:rsidRDefault="00E33792" w:rsidP="00E33792">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Multi-phase non-catalytic reactors</w:t>
            </w:r>
          </w:p>
        </w:tc>
        <w:tc>
          <w:tcPr>
            <w:tcW w:w="2148" w:type="dxa"/>
          </w:tcPr>
          <w:p w:rsidR="00E33792" w:rsidRPr="00AD704C" w:rsidRDefault="00E33792" w:rsidP="00E33792">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23-26 of T1</w:t>
            </w:r>
          </w:p>
        </w:tc>
      </w:tr>
      <w:tr w:rsidR="002B39F5" w:rsidRPr="00AD704C" w:rsidTr="002B39F5">
        <w:tc>
          <w:tcPr>
            <w:tcW w:w="1008" w:type="dxa"/>
          </w:tcPr>
          <w:p w:rsidR="002B39F5" w:rsidRPr="00AD704C" w:rsidRDefault="002B39F5" w:rsidP="002B39F5">
            <w:pPr>
              <w:widowControl w:val="0"/>
              <w:autoSpaceDE w:val="0"/>
              <w:autoSpaceDN w:val="0"/>
              <w:adjustRightInd w:val="0"/>
              <w:spacing w:after="0"/>
              <w:jc w:val="both"/>
              <w:rPr>
                <w:rFonts w:ascii="Times New Roman" w:hAnsi="Times New Roman"/>
                <w:sz w:val="20"/>
                <w:szCs w:val="20"/>
              </w:rPr>
            </w:pPr>
            <w:r>
              <w:rPr>
                <w:rFonts w:ascii="Times New Roman" w:hAnsi="Times New Roman"/>
                <w:sz w:val="20"/>
                <w:szCs w:val="20"/>
              </w:rPr>
              <w:t>36</w:t>
            </w:r>
            <w:r w:rsidRPr="00AD704C">
              <w:rPr>
                <w:rFonts w:ascii="Times New Roman" w:hAnsi="Times New Roman"/>
                <w:sz w:val="20"/>
                <w:szCs w:val="20"/>
              </w:rPr>
              <w:t>-</w:t>
            </w:r>
            <w:r>
              <w:rPr>
                <w:rFonts w:ascii="Times New Roman" w:hAnsi="Times New Roman"/>
                <w:sz w:val="20"/>
                <w:szCs w:val="20"/>
              </w:rPr>
              <w:t>41</w:t>
            </w:r>
          </w:p>
        </w:tc>
        <w:tc>
          <w:tcPr>
            <w:tcW w:w="3690" w:type="dxa"/>
          </w:tcPr>
          <w:p w:rsidR="002B39F5" w:rsidRPr="00AD704C" w:rsidRDefault="002B39F5" w:rsidP="002B39F5">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Tracers, methods of obtaining Residence time Distribution(RTD), models for flow patterns</w:t>
            </w:r>
          </w:p>
        </w:tc>
        <w:tc>
          <w:tcPr>
            <w:tcW w:w="2610" w:type="dxa"/>
          </w:tcPr>
          <w:p w:rsidR="002B39F5" w:rsidRPr="00AD704C" w:rsidRDefault="002B39F5" w:rsidP="002B39F5">
            <w:pPr>
              <w:widowControl w:val="0"/>
              <w:autoSpaceDE w:val="0"/>
              <w:autoSpaceDN w:val="0"/>
              <w:adjustRightInd w:val="0"/>
              <w:spacing w:after="0"/>
              <w:jc w:val="both"/>
              <w:rPr>
                <w:rFonts w:ascii="Times New Roman" w:hAnsi="Times New Roman"/>
                <w:sz w:val="20"/>
                <w:szCs w:val="20"/>
              </w:rPr>
            </w:pPr>
            <w:r w:rsidRPr="00AD704C">
              <w:rPr>
                <w:rFonts w:ascii="Times New Roman" w:hAnsi="Times New Roman"/>
                <w:sz w:val="20"/>
                <w:szCs w:val="20"/>
              </w:rPr>
              <w:t>Residence time Distribution (Macro mixing)</w:t>
            </w:r>
          </w:p>
        </w:tc>
        <w:tc>
          <w:tcPr>
            <w:tcW w:w="2148" w:type="dxa"/>
          </w:tcPr>
          <w:p w:rsidR="002B39F5" w:rsidRPr="00AD704C" w:rsidRDefault="002B39F5" w:rsidP="002B39F5">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11-16 of T1</w:t>
            </w:r>
          </w:p>
          <w:p w:rsidR="002B39F5" w:rsidRPr="00AD704C" w:rsidRDefault="002B39F5" w:rsidP="002B39F5">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13-14 of T2</w:t>
            </w:r>
          </w:p>
          <w:p w:rsidR="002B39F5" w:rsidRPr="00AD704C" w:rsidRDefault="002B39F5" w:rsidP="002B39F5">
            <w:pPr>
              <w:widowControl w:val="0"/>
              <w:tabs>
                <w:tab w:val="left" w:pos="820"/>
              </w:tabs>
              <w:overflowPunct w:val="0"/>
              <w:autoSpaceDE w:val="0"/>
              <w:autoSpaceDN w:val="0"/>
              <w:adjustRightInd w:val="0"/>
              <w:spacing w:after="0"/>
              <w:ind w:right="120"/>
              <w:jc w:val="both"/>
              <w:rPr>
                <w:rFonts w:ascii="Times New Roman" w:hAnsi="Times New Roman"/>
                <w:sz w:val="20"/>
                <w:szCs w:val="20"/>
              </w:rPr>
            </w:pPr>
            <w:r w:rsidRPr="00AD704C">
              <w:rPr>
                <w:rFonts w:ascii="Times New Roman" w:hAnsi="Times New Roman"/>
                <w:sz w:val="20"/>
                <w:szCs w:val="20"/>
              </w:rPr>
              <w:t>Chap No. 6 of R1</w:t>
            </w:r>
          </w:p>
        </w:tc>
      </w:tr>
    </w:tbl>
    <w:p w:rsidR="007F395E" w:rsidRDefault="007F395E" w:rsidP="001D2EA4">
      <w:pPr>
        <w:jc w:val="both"/>
        <w:rPr>
          <w:b/>
          <w:bCs/>
        </w:rPr>
      </w:pPr>
    </w:p>
    <w:p w:rsidR="001D2EA4" w:rsidRDefault="00E33792" w:rsidP="001D2EA4">
      <w:pPr>
        <w:jc w:val="both"/>
        <w:rPr>
          <w:b/>
          <w:bCs/>
        </w:rPr>
      </w:pPr>
      <w:r>
        <w:rPr>
          <w:b/>
          <w:bCs/>
        </w:rPr>
        <w:t>Lab experiments</w:t>
      </w:r>
      <w:r w:rsidR="001D2EA4">
        <w:rPr>
          <w:b/>
          <w:bCs/>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7227"/>
      </w:tblGrid>
      <w:tr w:rsidR="001D2EA4" w:rsidRPr="00E33792" w:rsidTr="00CD35C0">
        <w:trPr>
          <w:trHeight w:val="242"/>
        </w:trPr>
        <w:tc>
          <w:tcPr>
            <w:tcW w:w="1620" w:type="dxa"/>
            <w:shd w:val="clear" w:color="auto" w:fill="auto"/>
          </w:tcPr>
          <w:p w:rsidR="001D2EA4" w:rsidRPr="00E33792" w:rsidRDefault="001D2EA4" w:rsidP="00E33792">
            <w:pPr>
              <w:suppressAutoHyphens/>
              <w:spacing w:after="0"/>
              <w:jc w:val="center"/>
              <w:rPr>
                <w:rFonts w:ascii="Times New Roman" w:hAnsi="Times New Roman"/>
                <w:b/>
                <w:spacing w:val="-2"/>
                <w:szCs w:val="20"/>
              </w:rPr>
            </w:pPr>
            <w:r w:rsidRPr="00E33792">
              <w:rPr>
                <w:rFonts w:ascii="Times New Roman" w:hAnsi="Times New Roman"/>
                <w:b/>
                <w:spacing w:val="-2"/>
                <w:szCs w:val="20"/>
              </w:rPr>
              <w:t>Lab Name</w:t>
            </w:r>
          </w:p>
        </w:tc>
        <w:tc>
          <w:tcPr>
            <w:tcW w:w="7227" w:type="dxa"/>
            <w:shd w:val="clear" w:color="auto" w:fill="auto"/>
          </w:tcPr>
          <w:p w:rsidR="001D2EA4" w:rsidRPr="00E33792" w:rsidRDefault="001D2EA4" w:rsidP="00E33792">
            <w:pPr>
              <w:suppressAutoHyphens/>
              <w:spacing w:after="0"/>
              <w:jc w:val="center"/>
              <w:rPr>
                <w:rFonts w:ascii="Times New Roman" w:hAnsi="Times New Roman"/>
                <w:b/>
                <w:spacing w:val="-2"/>
                <w:szCs w:val="20"/>
              </w:rPr>
            </w:pPr>
            <w:r w:rsidRPr="00E33792">
              <w:rPr>
                <w:rFonts w:ascii="Times New Roman" w:hAnsi="Times New Roman"/>
                <w:b/>
                <w:spacing w:val="-2"/>
                <w:szCs w:val="20"/>
              </w:rPr>
              <w:t>Experiment Name &amp; Objective</w:t>
            </w:r>
          </w:p>
        </w:tc>
      </w:tr>
      <w:tr w:rsidR="001D2EA4" w:rsidRPr="00E33792" w:rsidTr="00CD35C0">
        <w:trPr>
          <w:trHeight w:val="323"/>
        </w:trPr>
        <w:tc>
          <w:tcPr>
            <w:tcW w:w="1620"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pacing w:val="-2"/>
                <w:sz w:val="20"/>
                <w:szCs w:val="20"/>
              </w:rPr>
              <w:t>CRE lab</w:t>
            </w:r>
          </w:p>
        </w:tc>
        <w:tc>
          <w:tcPr>
            <w:tcW w:w="7227"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z w:val="20"/>
                <w:szCs w:val="20"/>
              </w:rPr>
              <w:t xml:space="preserve">Batch Reactor: To study the order and rate constant for the reaction between KOH and ethyl acetate in a batch reactor @30 °C.  </w:t>
            </w:r>
          </w:p>
        </w:tc>
      </w:tr>
      <w:tr w:rsidR="001D2EA4" w:rsidRPr="00E33792" w:rsidTr="006740DD">
        <w:trPr>
          <w:trHeight w:val="620"/>
        </w:trPr>
        <w:tc>
          <w:tcPr>
            <w:tcW w:w="1620" w:type="dxa"/>
            <w:shd w:val="clear" w:color="auto" w:fill="auto"/>
          </w:tcPr>
          <w:p w:rsidR="001D2EA4" w:rsidRPr="00E33792" w:rsidRDefault="001D2EA4" w:rsidP="00E33792">
            <w:pPr>
              <w:spacing w:after="0"/>
              <w:rPr>
                <w:rFonts w:ascii="Times New Roman" w:hAnsi="Times New Roman"/>
              </w:rPr>
            </w:pPr>
            <w:r w:rsidRPr="00E33792">
              <w:rPr>
                <w:rFonts w:ascii="Times New Roman" w:hAnsi="Times New Roman"/>
                <w:spacing w:val="-2"/>
                <w:sz w:val="20"/>
                <w:szCs w:val="20"/>
              </w:rPr>
              <w:t>CRE lab</w:t>
            </w:r>
          </w:p>
        </w:tc>
        <w:tc>
          <w:tcPr>
            <w:tcW w:w="7227"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z w:val="20"/>
                <w:szCs w:val="20"/>
              </w:rPr>
              <w:t xml:space="preserve">Batch Reactor: To study the order and rate constant for the reaction between KOH and ethyl acetate in a batch reactor @40 °C.  </w:t>
            </w:r>
          </w:p>
        </w:tc>
      </w:tr>
      <w:tr w:rsidR="001D2EA4" w:rsidRPr="00E33792" w:rsidTr="006740DD">
        <w:trPr>
          <w:trHeight w:val="620"/>
        </w:trPr>
        <w:tc>
          <w:tcPr>
            <w:tcW w:w="1620" w:type="dxa"/>
            <w:shd w:val="clear" w:color="auto" w:fill="auto"/>
          </w:tcPr>
          <w:p w:rsidR="001D2EA4" w:rsidRPr="00E33792" w:rsidRDefault="001D2EA4" w:rsidP="00E33792">
            <w:pPr>
              <w:spacing w:after="0"/>
              <w:rPr>
                <w:rFonts w:ascii="Times New Roman" w:hAnsi="Times New Roman"/>
              </w:rPr>
            </w:pPr>
            <w:r w:rsidRPr="00E33792">
              <w:rPr>
                <w:rFonts w:ascii="Times New Roman" w:hAnsi="Times New Roman"/>
                <w:spacing w:val="-2"/>
                <w:sz w:val="20"/>
                <w:szCs w:val="20"/>
              </w:rPr>
              <w:t>CRE lab</w:t>
            </w:r>
          </w:p>
        </w:tc>
        <w:tc>
          <w:tcPr>
            <w:tcW w:w="7227"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z w:val="20"/>
                <w:szCs w:val="20"/>
              </w:rPr>
              <w:t xml:space="preserve">Batch Reactor: To study the order and rate constant for the reaction between KOH and ethyl acetate in a batch reactor @50 °C.  </w:t>
            </w:r>
          </w:p>
        </w:tc>
      </w:tr>
      <w:tr w:rsidR="001D2EA4" w:rsidRPr="00E33792" w:rsidTr="006740DD">
        <w:trPr>
          <w:trHeight w:val="620"/>
        </w:trPr>
        <w:tc>
          <w:tcPr>
            <w:tcW w:w="1620" w:type="dxa"/>
            <w:shd w:val="clear" w:color="auto" w:fill="auto"/>
          </w:tcPr>
          <w:p w:rsidR="001D2EA4" w:rsidRPr="00E33792" w:rsidRDefault="001D2EA4" w:rsidP="00E33792">
            <w:pPr>
              <w:spacing w:after="0"/>
              <w:rPr>
                <w:rFonts w:ascii="Times New Roman" w:hAnsi="Times New Roman"/>
              </w:rPr>
            </w:pPr>
            <w:r w:rsidRPr="00E33792">
              <w:rPr>
                <w:rFonts w:ascii="Times New Roman" w:hAnsi="Times New Roman"/>
                <w:spacing w:val="-2"/>
                <w:sz w:val="20"/>
                <w:szCs w:val="20"/>
              </w:rPr>
              <w:t>CRE lab</w:t>
            </w:r>
          </w:p>
        </w:tc>
        <w:tc>
          <w:tcPr>
            <w:tcW w:w="7227"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z w:val="20"/>
                <w:szCs w:val="20"/>
              </w:rPr>
              <w:t xml:space="preserve">Batch Reactor: To study the order and rate constant for the reaction between KOH and butyl acetate in a batch reactor @30 °C.  </w:t>
            </w:r>
          </w:p>
        </w:tc>
      </w:tr>
      <w:tr w:rsidR="001D2EA4" w:rsidRPr="00E33792" w:rsidTr="006740DD">
        <w:trPr>
          <w:trHeight w:val="530"/>
        </w:trPr>
        <w:tc>
          <w:tcPr>
            <w:tcW w:w="1620"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pacing w:val="-2"/>
                <w:sz w:val="20"/>
                <w:szCs w:val="20"/>
              </w:rPr>
              <w:t>CRE lab</w:t>
            </w:r>
          </w:p>
        </w:tc>
        <w:tc>
          <w:tcPr>
            <w:tcW w:w="7227"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z w:val="20"/>
                <w:szCs w:val="20"/>
              </w:rPr>
              <w:t xml:space="preserve">Continuous Stirred Tank Reactor: To study the order and rate constant for the reaction between KOH and ethyl acetate in a CSTR @ 30 °C.                 </w:t>
            </w:r>
          </w:p>
        </w:tc>
      </w:tr>
      <w:tr w:rsidR="001D2EA4" w:rsidRPr="00E33792" w:rsidTr="006740DD">
        <w:trPr>
          <w:trHeight w:val="512"/>
        </w:trPr>
        <w:tc>
          <w:tcPr>
            <w:tcW w:w="1620"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pacing w:val="-2"/>
                <w:sz w:val="20"/>
                <w:szCs w:val="20"/>
              </w:rPr>
              <w:t>CRE lab</w:t>
            </w:r>
          </w:p>
        </w:tc>
        <w:tc>
          <w:tcPr>
            <w:tcW w:w="7227"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pacing w:val="-2"/>
                <w:sz w:val="20"/>
                <w:szCs w:val="20"/>
              </w:rPr>
              <w:t xml:space="preserve">Plug Flow Reactor: </w:t>
            </w:r>
            <w:r w:rsidRPr="00E33792">
              <w:rPr>
                <w:rFonts w:ascii="Times New Roman" w:hAnsi="Times New Roman"/>
                <w:sz w:val="20"/>
                <w:szCs w:val="20"/>
              </w:rPr>
              <w:t>To study the order and rate constant for the reaction between KOH and ethyl acetate in a PFR @ 30 °C.</w:t>
            </w:r>
          </w:p>
        </w:tc>
      </w:tr>
      <w:tr w:rsidR="001D2EA4" w:rsidRPr="00E33792" w:rsidTr="00E33792">
        <w:trPr>
          <w:trHeight w:val="163"/>
        </w:trPr>
        <w:tc>
          <w:tcPr>
            <w:tcW w:w="1620"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pacing w:val="-2"/>
                <w:sz w:val="20"/>
                <w:szCs w:val="20"/>
              </w:rPr>
              <w:t>CRE lab</w:t>
            </w:r>
          </w:p>
        </w:tc>
        <w:tc>
          <w:tcPr>
            <w:tcW w:w="7227" w:type="dxa"/>
            <w:shd w:val="clear" w:color="auto" w:fill="auto"/>
          </w:tcPr>
          <w:p w:rsidR="001D2EA4" w:rsidRPr="00E33792" w:rsidRDefault="00CD23F5" w:rsidP="00E33792">
            <w:pPr>
              <w:spacing w:after="0"/>
              <w:rPr>
                <w:rFonts w:ascii="Times New Roman" w:hAnsi="Times New Roman"/>
                <w:sz w:val="20"/>
                <w:szCs w:val="20"/>
              </w:rPr>
            </w:pPr>
            <w:r w:rsidRPr="00E33792">
              <w:rPr>
                <w:rFonts w:ascii="Times New Roman" w:hAnsi="Times New Roman"/>
                <w:sz w:val="20"/>
                <w:szCs w:val="20"/>
              </w:rPr>
              <w:t>RTD study using CSTR</w:t>
            </w:r>
          </w:p>
        </w:tc>
      </w:tr>
      <w:tr w:rsidR="00CD23F5" w:rsidRPr="00E33792" w:rsidTr="00E33792">
        <w:trPr>
          <w:trHeight w:val="343"/>
        </w:trPr>
        <w:tc>
          <w:tcPr>
            <w:tcW w:w="1620" w:type="dxa"/>
            <w:shd w:val="clear" w:color="auto" w:fill="auto"/>
          </w:tcPr>
          <w:p w:rsidR="00CD23F5" w:rsidRPr="00E33792" w:rsidRDefault="00CD23F5" w:rsidP="00E33792">
            <w:pPr>
              <w:spacing w:after="0"/>
              <w:rPr>
                <w:rFonts w:ascii="Times New Roman" w:hAnsi="Times New Roman"/>
                <w:spacing w:val="-2"/>
                <w:sz w:val="20"/>
                <w:szCs w:val="20"/>
              </w:rPr>
            </w:pPr>
            <w:r w:rsidRPr="00E33792">
              <w:rPr>
                <w:rFonts w:ascii="Times New Roman" w:hAnsi="Times New Roman"/>
                <w:spacing w:val="-2"/>
                <w:sz w:val="20"/>
                <w:szCs w:val="20"/>
              </w:rPr>
              <w:t>CRE lab</w:t>
            </w:r>
          </w:p>
        </w:tc>
        <w:tc>
          <w:tcPr>
            <w:tcW w:w="7227" w:type="dxa"/>
            <w:shd w:val="clear" w:color="auto" w:fill="auto"/>
          </w:tcPr>
          <w:p w:rsidR="00CD23F5" w:rsidRPr="00E33792" w:rsidRDefault="00CD23F5" w:rsidP="00E33792">
            <w:pPr>
              <w:spacing w:after="0"/>
              <w:rPr>
                <w:rFonts w:ascii="Times New Roman" w:hAnsi="Times New Roman"/>
                <w:sz w:val="20"/>
                <w:szCs w:val="20"/>
              </w:rPr>
            </w:pPr>
            <w:r w:rsidRPr="00E33792">
              <w:rPr>
                <w:rFonts w:ascii="Times New Roman" w:hAnsi="Times New Roman"/>
                <w:sz w:val="20"/>
                <w:szCs w:val="20"/>
              </w:rPr>
              <w:t>RTD study using PFR</w:t>
            </w:r>
          </w:p>
        </w:tc>
      </w:tr>
      <w:tr w:rsidR="001D2EA4" w:rsidRPr="00E33792" w:rsidTr="00E33792">
        <w:trPr>
          <w:trHeight w:val="343"/>
        </w:trPr>
        <w:tc>
          <w:tcPr>
            <w:tcW w:w="1620" w:type="dxa"/>
            <w:shd w:val="clear" w:color="auto" w:fill="auto"/>
          </w:tcPr>
          <w:p w:rsidR="001D2EA4" w:rsidRPr="00E33792" w:rsidRDefault="001D2EA4" w:rsidP="00E33792">
            <w:pPr>
              <w:spacing w:after="0"/>
              <w:rPr>
                <w:rFonts w:ascii="Times New Roman" w:hAnsi="Times New Roman"/>
                <w:sz w:val="20"/>
                <w:szCs w:val="20"/>
              </w:rPr>
            </w:pPr>
            <w:r w:rsidRPr="00E33792">
              <w:rPr>
                <w:rFonts w:ascii="Times New Roman" w:hAnsi="Times New Roman"/>
                <w:spacing w:val="-2"/>
                <w:sz w:val="20"/>
                <w:szCs w:val="20"/>
              </w:rPr>
              <w:t>CRE lab</w:t>
            </w:r>
          </w:p>
        </w:tc>
        <w:tc>
          <w:tcPr>
            <w:tcW w:w="7227" w:type="dxa"/>
            <w:shd w:val="clear" w:color="auto" w:fill="auto"/>
          </w:tcPr>
          <w:p w:rsidR="001D2EA4" w:rsidRPr="00E33792" w:rsidRDefault="007F5904" w:rsidP="00E33792">
            <w:pPr>
              <w:spacing w:after="0"/>
              <w:rPr>
                <w:rFonts w:ascii="Times New Roman" w:hAnsi="Times New Roman"/>
                <w:spacing w:val="-2"/>
                <w:sz w:val="20"/>
                <w:szCs w:val="20"/>
              </w:rPr>
            </w:pPr>
            <w:r w:rsidRPr="00E33792">
              <w:rPr>
                <w:rFonts w:ascii="Times New Roman" w:hAnsi="Times New Roman"/>
                <w:spacing w:val="-2"/>
                <w:sz w:val="20"/>
                <w:szCs w:val="20"/>
              </w:rPr>
              <w:t>Analysis of gas sample</w:t>
            </w:r>
          </w:p>
        </w:tc>
      </w:tr>
      <w:tr w:rsidR="00CD23F5" w:rsidRPr="00E33792" w:rsidTr="00E33792">
        <w:trPr>
          <w:trHeight w:val="271"/>
        </w:trPr>
        <w:tc>
          <w:tcPr>
            <w:tcW w:w="1620" w:type="dxa"/>
            <w:shd w:val="clear" w:color="auto" w:fill="auto"/>
          </w:tcPr>
          <w:p w:rsidR="00CD23F5" w:rsidRPr="00E33792" w:rsidRDefault="00CD23F5" w:rsidP="00E33792">
            <w:pPr>
              <w:spacing w:after="0"/>
              <w:rPr>
                <w:rFonts w:ascii="Times New Roman" w:hAnsi="Times New Roman"/>
                <w:spacing w:val="-2"/>
                <w:sz w:val="20"/>
                <w:szCs w:val="20"/>
              </w:rPr>
            </w:pPr>
            <w:r w:rsidRPr="00E33792">
              <w:rPr>
                <w:rFonts w:ascii="Times New Roman" w:hAnsi="Times New Roman"/>
                <w:spacing w:val="-2"/>
                <w:sz w:val="20"/>
                <w:szCs w:val="20"/>
              </w:rPr>
              <w:t>CRE Lab</w:t>
            </w:r>
          </w:p>
        </w:tc>
        <w:tc>
          <w:tcPr>
            <w:tcW w:w="7227" w:type="dxa"/>
            <w:shd w:val="clear" w:color="auto" w:fill="auto"/>
          </w:tcPr>
          <w:p w:rsidR="00CD23F5" w:rsidRPr="00E33792" w:rsidRDefault="00CD23F5" w:rsidP="00E33792">
            <w:pPr>
              <w:spacing w:after="0"/>
              <w:rPr>
                <w:rFonts w:ascii="Times New Roman" w:hAnsi="Times New Roman"/>
                <w:spacing w:val="-2"/>
                <w:sz w:val="20"/>
                <w:szCs w:val="20"/>
              </w:rPr>
            </w:pPr>
            <w:r w:rsidRPr="00E33792">
              <w:rPr>
                <w:rFonts w:ascii="Times New Roman" w:hAnsi="Times New Roman"/>
                <w:spacing w:val="-2"/>
                <w:sz w:val="20"/>
                <w:szCs w:val="20"/>
              </w:rPr>
              <w:t>To find conversion of a reaction using  spectrophotometric method</w:t>
            </w:r>
          </w:p>
        </w:tc>
      </w:tr>
      <w:tr w:rsidR="00CD23F5" w:rsidRPr="00E33792" w:rsidTr="00E33792">
        <w:trPr>
          <w:trHeight w:val="253"/>
        </w:trPr>
        <w:tc>
          <w:tcPr>
            <w:tcW w:w="1620" w:type="dxa"/>
            <w:shd w:val="clear" w:color="auto" w:fill="auto"/>
          </w:tcPr>
          <w:p w:rsidR="00CD23F5" w:rsidRPr="00E33792" w:rsidRDefault="00CD23F5" w:rsidP="00E33792">
            <w:pPr>
              <w:spacing w:after="0"/>
              <w:rPr>
                <w:rFonts w:ascii="Times New Roman" w:hAnsi="Times New Roman"/>
                <w:sz w:val="20"/>
                <w:szCs w:val="20"/>
              </w:rPr>
            </w:pPr>
            <w:r w:rsidRPr="00E33792">
              <w:rPr>
                <w:rFonts w:ascii="Times New Roman" w:hAnsi="Times New Roman"/>
                <w:spacing w:val="-2"/>
                <w:sz w:val="20"/>
                <w:szCs w:val="20"/>
              </w:rPr>
              <w:t>CRE Lab</w:t>
            </w:r>
          </w:p>
        </w:tc>
        <w:tc>
          <w:tcPr>
            <w:tcW w:w="7227" w:type="dxa"/>
            <w:shd w:val="clear" w:color="auto" w:fill="auto"/>
          </w:tcPr>
          <w:p w:rsidR="00CD23F5" w:rsidRPr="00E33792" w:rsidRDefault="00CD23F5" w:rsidP="00E33792">
            <w:pPr>
              <w:spacing w:after="0"/>
              <w:rPr>
                <w:rFonts w:ascii="Times New Roman" w:hAnsi="Times New Roman"/>
                <w:spacing w:val="-2"/>
                <w:sz w:val="20"/>
                <w:szCs w:val="20"/>
              </w:rPr>
            </w:pPr>
            <w:r w:rsidRPr="00E33792">
              <w:rPr>
                <w:rFonts w:ascii="Times New Roman" w:hAnsi="Times New Roman"/>
                <w:spacing w:val="-2"/>
                <w:sz w:val="20"/>
                <w:szCs w:val="20"/>
              </w:rPr>
              <w:t>To find conversion of a reaction using GC analysis</w:t>
            </w:r>
          </w:p>
        </w:tc>
      </w:tr>
      <w:tr w:rsidR="00CD23F5" w:rsidRPr="00E33792" w:rsidTr="00E33792">
        <w:trPr>
          <w:trHeight w:val="253"/>
        </w:trPr>
        <w:tc>
          <w:tcPr>
            <w:tcW w:w="1620" w:type="dxa"/>
            <w:shd w:val="clear" w:color="auto" w:fill="auto"/>
          </w:tcPr>
          <w:p w:rsidR="00CD23F5" w:rsidRPr="00E33792" w:rsidRDefault="00410635" w:rsidP="00E33792">
            <w:pPr>
              <w:spacing w:after="0"/>
              <w:rPr>
                <w:rFonts w:ascii="Times New Roman" w:hAnsi="Times New Roman"/>
                <w:sz w:val="20"/>
                <w:szCs w:val="20"/>
              </w:rPr>
            </w:pPr>
            <w:r w:rsidRPr="00E33792">
              <w:rPr>
                <w:rFonts w:ascii="Times New Roman" w:hAnsi="Times New Roman"/>
                <w:sz w:val="20"/>
                <w:szCs w:val="20"/>
              </w:rPr>
              <w:t>Multiphase lab</w:t>
            </w:r>
          </w:p>
        </w:tc>
        <w:tc>
          <w:tcPr>
            <w:tcW w:w="7227" w:type="dxa"/>
            <w:shd w:val="clear" w:color="auto" w:fill="auto"/>
          </w:tcPr>
          <w:p w:rsidR="00CD23F5" w:rsidRPr="00E33792" w:rsidRDefault="00410635" w:rsidP="00E33792">
            <w:pPr>
              <w:spacing w:after="0"/>
              <w:rPr>
                <w:rFonts w:ascii="Times New Roman" w:hAnsi="Times New Roman"/>
                <w:spacing w:val="-2"/>
                <w:sz w:val="20"/>
                <w:szCs w:val="20"/>
              </w:rPr>
            </w:pPr>
            <w:r w:rsidRPr="00E33792">
              <w:rPr>
                <w:rFonts w:ascii="Times New Roman" w:hAnsi="Times New Roman"/>
                <w:spacing w:val="-2"/>
                <w:sz w:val="20"/>
                <w:szCs w:val="20"/>
              </w:rPr>
              <w:t xml:space="preserve"> To  find  adsorption capacity of an adsorbent for adsorption of gas on solid adsorbent</w:t>
            </w:r>
          </w:p>
        </w:tc>
      </w:tr>
      <w:tr w:rsidR="002B39F5" w:rsidRPr="00E33792" w:rsidTr="00E33792">
        <w:trPr>
          <w:trHeight w:val="253"/>
        </w:trPr>
        <w:tc>
          <w:tcPr>
            <w:tcW w:w="1620" w:type="dxa"/>
            <w:shd w:val="clear" w:color="auto" w:fill="auto"/>
          </w:tcPr>
          <w:p w:rsidR="002B39F5" w:rsidRPr="00E33792" w:rsidRDefault="002B39F5" w:rsidP="00E33792">
            <w:pPr>
              <w:spacing w:after="0"/>
              <w:rPr>
                <w:rFonts w:ascii="Times New Roman" w:hAnsi="Times New Roman"/>
                <w:sz w:val="20"/>
                <w:szCs w:val="20"/>
              </w:rPr>
            </w:pPr>
            <w:r>
              <w:rPr>
                <w:rFonts w:ascii="Times New Roman" w:hAnsi="Times New Roman"/>
                <w:sz w:val="20"/>
                <w:szCs w:val="20"/>
              </w:rPr>
              <w:t>Petroleum lab</w:t>
            </w:r>
          </w:p>
        </w:tc>
        <w:tc>
          <w:tcPr>
            <w:tcW w:w="7227" w:type="dxa"/>
            <w:shd w:val="clear" w:color="auto" w:fill="auto"/>
          </w:tcPr>
          <w:p w:rsidR="002B39F5" w:rsidRPr="00E33792" w:rsidRDefault="002B39F5" w:rsidP="00E33792">
            <w:pPr>
              <w:spacing w:after="0"/>
              <w:rPr>
                <w:rFonts w:ascii="Times New Roman" w:hAnsi="Times New Roman"/>
                <w:spacing w:val="-2"/>
                <w:sz w:val="20"/>
                <w:szCs w:val="20"/>
              </w:rPr>
            </w:pPr>
            <w:r>
              <w:rPr>
                <w:rFonts w:ascii="Times New Roman" w:hAnsi="Times New Roman"/>
                <w:spacing w:val="-2"/>
                <w:sz w:val="20"/>
                <w:szCs w:val="20"/>
              </w:rPr>
              <w:t>Cracking of liquid fuel</w:t>
            </w:r>
          </w:p>
        </w:tc>
      </w:tr>
    </w:tbl>
    <w:p w:rsidR="001D2EA4" w:rsidRDefault="001D2EA4">
      <w:pPr>
        <w:widowControl w:val="0"/>
        <w:autoSpaceDE w:val="0"/>
        <w:autoSpaceDN w:val="0"/>
        <w:adjustRightInd w:val="0"/>
        <w:spacing w:after="0" w:line="240" w:lineRule="auto"/>
        <w:rPr>
          <w:rFonts w:ascii="Times New Roman" w:hAnsi="Times New Roman"/>
          <w:b/>
          <w:bCs/>
          <w:sz w:val="20"/>
          <w:szCs w:val="20"/>
        </w:rPr>
      </w:pPr>
    </w:p>
    <w:p w:rsidR="00E33792" w:rsidRDefault="00E33792">
      <w:pPr>
        <w:widowControl w:val="0"/>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Evaluation scheme</w:t>
      </w:r>
    </w:p>
    <w:p w:rsidR="00E33792" w:rsidRDefault="00E33792">
      <w:pPr>
        <w:widowControl w:val="0"/>
        <w:autoSpaceDE w:val="0"/>
        <w:autoSpaceDN w:val="0"/>
        <w:adjustRightInd w:val="0"/>
        <w:spacing w:after="0" w:line="240" w:lineRule="auto"/>
        <w:rPr>
          <w:rFonts w:ascii="Times New Roman" w:hAnsi="Times New Roman"/>
          <w:b/>
          <w:bCs/>
          <w:sz w:val="20"/>
          <w:szCs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520"/>
        <w:gridCol w:w="1080"/>
        <w:gridCol w:w="1170"/>
        <w:gridCol w:w="2160"/>
        <w:gridCol w:w="1890"/>
      </w:tblGrid>
      <w:tr w:rsidR="008C40E2" w:rsidRPr="008C40E2" w:rsidTr="00054F16">
        <w:tc>
          <w:tcPr>
            <w:tcW w:w="540" w:type="dxa"/>
          </w:tcPr>
          <w:p w:rsidR="008C40E2" w:rsidRDefault="008C40E2" w:rsidP="00CD35C0">
            <w:pPr>
              <w:pStyle w:val="BodyTextIndent"/>
              <w:ind w:left="0"/>
              <w:jc w:val="center"/>
              <w:rPr>
                <w:sz w:val="22"/>
              </w:rPr>
            </w:pPr>
            <w:r>
              <w:rPr>
                <w:sz w:val="22"/>
              </w:rPr>
              <w:t>EC No.</w:t>
            </w:r>
          </w:p>
        </w:tc>
        <w:tc>
          <w:tcPr>
            <w:tcW w:w="2520" w:type="dxa"/>
          </w:tcPr>
          <w:p w:rsidR="008C40E2" w:rsidRDefault="008C40E2" w:rsidP="00CD35C0">
            <w:pPr>
              <w:pStyle w:val="BodyTextIndent"/>
              <w:ind w:left="0"/>
              <w:jc w:val="center"/>
              <w:rPr>
                <w:sz w:val="22"/>
              </w:rPr>
            </w:pPr>
            <w:r>
              <w:rPr>
                <w:sz w:val="22"/>
              </w:rPr>
              <w:t>Evaluation  Component</w:t>
            </w:r>
          </w:p>
        </w:tc>
        <w:tc>
          <w:tcPr>
            <w:tcW w:w="1080" w:type="dxa"/>
          </w:tcPr>
          <w:p w:rsidR="008C40E2" w:rsidRDefault="008C40E2" w:rsidP="00CD35C0">
            <w:pPr>
              <w:pStyle w:val="BodyTextIndent"/>
              <w:ind w:left="0"/>
              <w:jc w:val="center"/>
              <w:rPr>
                <w:sz w:val="22"/>
              </w:rPr>
            </w:pPr>
            <w:r>
              <w:rPr>
                <w:sz w:val="22"/>
              </w:rPr>
              <w:t>Duration</w:t>
            </w:r>
          </w:p>
        </w:tc>
        <w:tc>
          <w:tcPr>
            <w:tcW w:w="1170" w:type="dxa"/>
          </w:tcPr>
          <w:p w:rsidR="008C40E2" w:rsidRDefault="008C40E2" w:rsidP="00CD35C0">
            <w:pPr>
              <w:pStyle w:val="BodyTextIndent"/>
              <w:ind w:left="0"/>
              <w:jc w:val="center"/>
              <w:rPr>
                <w:sz w:val="22"/>
              </w:rPr>
            </w:pPr>
            <w:r>
              <w:rPr>
                <w:sz w:val="22"/>
              </w:rPr>
              <w:t>Weightage%</w:t>
            </w:r>
          </w:p>
        </w:tc>
        <w:tc>
          <w:tcPr>
            <w:tcW w:w="2160" w:type="dxa"/>
          </w:tcPr>
          <w:p w:rsidR="008C40E2" w:rsidRDefault="008C40E2" w:rsidP="00CD35C0">
            <w:pPr>
              <w:pStyle w:val="BodyTextIndent"/>
              <w:ind w:left="0"/>
              <w:jc w:val="center"/>
              <w:rPr>
                <w:sz w:val="22"/>
              </w:rPr>
            </w:pPr>
            <w:r>
              <w:rPr>
                <w:sz w:val="22"/>
              </w:rPr>
              <w:t xml:space="preserve">Date, Time </w:t>
            </w:r>
          </w:p>
        </w:tc>
        <w:tc>
          <w:tcPr>
            <w:tcW w:w="1890" w:type="dxa"/>
          </w:tcPr>
          <w:p w:rsidR="008C40E2" w:rsidRDefault="008C40E2" w:rsidP="00CD35C0">
            <w:pPr>
              <w:pStyle w:val="BodyTextIndent"/>
              <w:ind w:left="0"/>
              <w:jc w:val="center"/>
              <w:rPr>
                <w:sz w:val="22"/>
              </w:rPr>
            </w:pPr>
            <w:r>
              <w:rPr>
                <w:sz w:val="22"/>
              </w:rPr>
              <w:t>Remarks</w:t>
            </w:r>
          </w:p>
        </w:tc>
      </w:tr>
      <w:tr w:rsidR="00517E6D" w:rsidRPr="008C40E2" w:rsidTr="00054F16">
        <w:tc>
          <w:tcPr>
            <w:tcW w:w="540" w:type="dxa"/>
          </w:tcPr>
          <w:p w:rsidR="00517E6D" w:rsidRDefault="00517E6D" w:rsidP="00CD35C0">
            <w:pPr>
              <w:pStyle w:val="BodyTextIndent"/>
              <w:ind w:left="0"/>
              <w:jc w:val="center"/>
              <w:rPr>
                <w:sz w:val="22"/>
              </w:rPr>
            </w:pPr>
            <w:r>
              <w:rPr>
                <w:sz w:val="22"/>
              </w:rPr>
              <w:t>1.</w:t>
            </w:r>
          </w:p>
        </w:tc>
        <w:tc>
          <w:tcPr>
            <w:tcW w:w="2520" w:type="dxa"/>
          </w:tcPr>
          <w:p w:rsidR="00517E6D" w:rsidRDefault="00ED2A20" w:rsidP="00CD35C0">
            <w:pPr>
              <w:pStyle w:val="BodyTextIndent"/>
              <w:ind w:left="0"/>
              <w:jc w:val="left"/>
              <w:rPr>
                <w:sz w:val="22"/>
              </w:rPr>
            </w:pPr>
            <w:r>
              <w:rPr>
                <w:sz w:val="22"/>
              </w:rPr>
              <w:t xml:space="preserve">Mid </w:t>
            </w:r>
            <w:proofErr w:type="spellStart"/>
            <w:r>
              <w:rPr>
                <w:sz w:val="22"/>
              </w:rPr>
              <w:t>sem</w:t>
            </w:r>
            <w:proofErr w:type="spellEnd"/>
          </w:p>
        </w:tc>
        <w:tc>
          <w:tcPr>
            <w:tcW w:w="1080" w:type="dxa"/>
          </w:tcPr>
          <w:p w:rsidR="00517E6D" w:rsidRDefault="00ED2A20" w:rsidP="00CD35C0">
            <w:pPr>
              <w:pStyle w:val="BodyTextIndent"/>
              <w:ind w:left="0"/>
              <w:jc w:val="center"/>
              <w:rPr>
                <w:sz w:val="22"/>
              </w:rPr>
            </w:pPr>
            <w:r>
              <w:rPr>
                <w:sz w:val="22"/>
              </w:rPr>
              <w:t>9</w:t>
            </w:r>
            <w:r w:rsidR="00517E6D">
              <w:rPr>
                <w:sz w:val="22"/>
              </w:rPr>
              <w:t>0 min</w:t>
            </w:r>
          </w:p>
        </w:tc>
        <w:tc>
          <w:tcPr>
            <w:tcW w:w="1170" w:type="dxa"/>
          </w:tcPr>
          <w:p w:rsidR="00517E6D" w:rsidRDefault="00ED2A20" w:rsidP="00CD35C0">
            <w:pPr>
              <w:pStyle w:val="BodyTextIndent"/>
              <w:ind w:left="0"/>
              <w:jc w:val="center"/>
              <w:rPr>
                <w:sz w:val="22"/>
              </w:rPr>
            </w:pPr>
            <w:r>
              <w:rPr>
                <w:sz w:val="22"/>
              </w:rPr>
              <w:t>25</w:t>
            </w:r>
          </w:p>
        </w:tc>
        <w:tc>
          <w:tcPr>
            <w:tcW w:w="2160" w:type="dxa"/>
          </w:tcPr>
          <w:p w:rsidR="00517E6D" w:rsidRDefault="00517E6D" w:rsidP="00CD35C0">
            <w:pPr>
              <w:spacing w:after="0" w:line="240" w:lineRule="auto"/>
              <w:jc w:val="center"/>
              <w:rPr>
                <w:rFonts w:ascii="Times New Roman" w:hAnsi="Times New Roman"/>
                <w:sz w:val="20"/>
                <w:szCs w:val="20"/>
              </w:rPr>
            </w:pPr>
          </w:p>
          <w:p w:rsidR="00EA6B22" w:rsidRPr="00517E6D" w:rsidRDefault="00EA6B22" w:rsidP="00CD35C0">
            <w:pPr>
              <w:spacing w:after="0" w:line="240" w:lineRule="auto"/>
              <w:jc w:val="center"/>
              <w:rPr>
                <w:rFonts w:ascii="Times New Roman" w:hAnsi="Times New Roman"/>
                <w:sz w:val="20"/>
                <w:szCs w:val="20"/>
              </w:rPr>
            </w:pPr>
            <w:r>
              <w:rPr>
                <w:rFonts w:ascii="Times New Roman" w:hAnsi="Times New Roman"/>
                <w:sz w:val="20"/>
                <w:szCs w:val="20"/>
              </w:rPr>
              <w:t>2/3, 11: 00 – 12:30 PM</w:t>
            </w:r>
          </w:p>
        </w:tc>
        <w:tc>
          <w:tcPr>
            <w:tcW w:w="1890" w:type="dxa"/>
          </w:tcPr>
          <w:p w:rsidR="00517E6D" w:rsidRPr="002D18E9" w:rsidRDefault="00517E6D" w:rsidP="00CD35C0">
            <w:pPr>
              <w:pStyle w:val="BodyTextIndent"/>
              <w:ind w:left="0"/>
              <w:jc w:val="center"/>
              <w:rPr>
                <w:sz w:val="20"/>
              </w:rPr>
            </w:pPr>
            <w:r w:rsidRPr="002D18E9">
              <w:rPr>
                <w:sz w:val="20"/>
              </w:rPr>
              <w:t>CB</w:t>
            </w:r>
          </w:p>
        </w:tc>
      </w:tr>
      <w:tr w:rsidR="00517E6D" w:rsidRPr="008C40E2" w:rsidTr="00054F16">
        <w:trPr>
          <w:trHeight w:val="125"/>
        </w:trPr>
        <w:tc>
          <w:tcPr>
            <w:tcW w:w="540" w:type="dxa"/>
          </w:tcPr>
          <w:p w:rsidR="00517E6D" w:rsidRDefault="00517E6D" w:rsidP="00CD35C0">
            <w:pPr>
              <w:pStyle w:val="BodyTextIndent"/>
              <w:ind w:left="0"/>
              <w:jc w:val="center"/>
              <w:rPr>
                <w:sz w:val="22"/>
              </w:rPr>
            </w:pPr>
            <w:r>
              <w:rPr>
                <w:sz w:val="22"/>
              </w:rPr>
              <w:t>2.</w:t>
            </w:r>
          </w:p>
        </w:tc>
        <w:tc>
          <w:tcPr>
            <w:tcW w:w="2520" w:type="dxa"/>
          </w:tcPr>
          <w:p w:rsidR="00517E6D" w:rsidRDefault="007F395E" w:rsidP="00CD35C0">
            <w:pPr>
              <w:pStyle w:val="BodyTextIndent"/>
              <w:ind w:left="0"/>
              <w:jc w:val="left"/>
              <w:rPr>
                <w:sz w:val="22"/>
              </w:rPr>
            </w:pPr>
            <w:proofErr w:type="spellStart"/>
            <w:r>
              <w:rPr>
                <w:sz w:val="22"/>
              </w:rPr>
              <w:t>Compre</w:t>
            </w:r>
            <w:proofErr w:type="spellEnd"/>
          </w:p>
        </w:tc>
        <w:tc>
          <w:tcPr>
            <w:tcW w:w="1080" w:type="dxa"/>
          </w:tcPr>
          <w:p w:rsidR="00517E6D" w:rsidRDefault="00ED2A20" w:rsidP="00CD35C0">
            <w:pPr>
              <w:pStyle w:val="BodyTextIndent"/>
              <w:ind w:left="0"/>
              <w:jc w:val="center"/>
              <w:rPr>
                <w:sz w:val="22"/>
              </w:rPr>
            </w:pPr>
            <w:r>
              <w:rPr>
                <w:sz w:val="22"/>
              </w:rPr>
              <w:t>180</w:t>
            </w:r>
            <w:r w:rsidR="00517E6D">
              <w:rPr>
                <w:sz w:val="22"/>
              </w:rPr>
              <w:t xml:space="preserve"> min</w:t>
            </w:r>
          </w:p>
        </w:tc>
        <w:tc>
          <w:tcPr>
            <w:tcW w:w="1170" w:type="dxa"/>
          </w:tcPr>
          <w:p w:rsidR="00517E6D" w:rsidRDefault="00893927" w:rsidP="00CD35C0">
            <w:pPr>
              <w:pStyle w:val="BodyTextIndent"/>
              <w:ind w:left="0"/>
              <w:jc w:val="center"/>
              <w:rPr>
                <w:sz w:val="22"/>
              </w:rPr>
            </w:pPr>
            <w:r>
              <w:rPr>
                <w:sz w:val="22"/>
              </w:rPr>
              <w:t>35</w:t>
            </w:r>
          </w:p>
        </w:tc>
        <w:tc>
          <w:tcPr>
            <w:tcW w:w="2160" w:type="dxa"/>
          </w:tcPr>
          <w:p w:rsidR="00517E6D" w:rsidRPr="00517E6D" w:rsidRDefault="002F5111" w:rsidP="00375761">
            <w:pPr>
              <w:spacing w:after="0" w:line="240" w:lineRule="auto"/>
              <w:jc w:val="center"/>
              <w:rPr>
                <w:rFonts w:ascii="Times New Roman" w:hAnsi="Times New Roman"/>
                <w:sz w:val="20"/>
                <w:szCs w:val="20"/>
              </w:rPr>
            </w:pPr>
            <w:r>
              <w:rPr>
                <w:rFonts w:ascii="Times New Roman" w:hAnsi="Times New Roman"/>
                <w:sz w:val="20"/>
                <w:szCs w:val="20"/>
              </w:rPr>
              <w:t xml:space="preserve">01/05 , </w:t>
            </w:r>
            <w:r w:rsidR="00375761">
              <w:rPr>
                <w:rFonts w:ascii="Times New Roman" w:hAnsi="Times New Roman"/>
                <w:sz w:val="20"/>
                <w:szCs w:val="20"/>
              </w:rPr>
              <w:t>A</w:t>
            </w:r>
            <w:r>
              <w:rPr>
                <w:rFonts w:ascii="Times New Roman" w:hAnsi="Times New Roman"/>
                <w:sz w:val="20"/>
                <w:szCs w:val="20"/>
              </w:rPr>
              <w:t>N</w:t>
            </w:r>
          </w:p>
        </w:tc>
        <w:tc>
          <w:tcPr>
            <w:tcW w:w="1890" w:type="dxa"/>
          </w:tcPr>
          <w:p w:rsidR="00517E6D" w:rsidRPr="002D18E9" w:rsidRDefault="003424A2" w:rsidP="00CD35C0">
            <w:pPr>
              <w:pStyle w:val="BodyTextIndent"/>
              <w:ind w:left="0"/>
              <w:jc w:val="center"/>
              <w:rPr>
                <w:sz w:val="20"/>
              </w:rPr>
            </w:pPr>
            <w:r>
              <w:rPr>
                <w:sz w:val="20"/>
              </w:rPr>
              <w:t>25</w:t>
            </w:r>
            <w:r w:rsidR="00ED2A20" w:rsidRPr="002D18E9">
              <w:rPr>
                <w:sz w:val="20"/>
              </w:rPr>
              <w:t>%CB &amp; 10%</w:t>
            </w:r>
            <w:r w:rsidR="00517E6D" w:rsidRPr="002D18E9">
              <w:rPr>
                <w:sz w:val="20"/>
              </w:rPr>
              <w:t>OB</w:t>
            </w:r>
          </w:p>
        </w:tc>
      </w:tr>
      <w:tr w:rsidR="008C40E2" w:rsidRPr="008C40E2" w:rsidTr="00054F16">
        <w:tc>
          <w:tcPr>
            <w:tcW w:w="540" w:type="dxa"/>
          </w:tcPr>
          <w:p w:rsidR="008C40E2" w:rsidRDefault="008C40E2" w:rsidP="00CD35C0">
            <w:pPr>
              <w:pStyle w:val="BodyTextIndent"/>
              <w:ind w:left="0"/>
              <w:jc w:val="center"/>
              <w:rPr>
                <w:sz w:val="22"/>
              </w:rPr>
            </w:pPr>
            <w:r>
              <w:rPr>
                <w:sz w:val="22"/>
              </w:rPr>
              <w:t>3.</w:t>
            </w:r>
          </w:p>
        </w:tc>
        <w:tc>
          <w:tcPr>
            <w:tcW w:w="2520" w:type="dxa"/>
          </w:tcPr>
          <w:p w:rsidR="008C40E2" w:rsidRDefault="008C40E2" w:rsidP="00054F16">
            <w:pPr>
              <w:pStyle w:val="BodyTextIndent"/>
              <w:ind w:left="0"/>
              <w:jc w:val="left"/>
              <w:rPr>
                <w:sz w:val="22"/>
              </w:rPr>
            </w:pPr>
            <w:r>
              <w:rPr>
                <w:sz w:val="22"/>
              </w:rPr>
              <w:t>Ass</w:t>
            </w:r>
            <w:r w:rsidR="00054F16">
              <w:rPr>
                <w:sz w:val="22"/>
              </w:rPr>
              <w:t xml:space="preserve">ignment &amp; / </w:t>
            </w:r>
            <w:r w:rsidR="001B3346">
              <w:rPr>
                <w:sz w:val="22"/>
              </w:rPr>
              <w:t>semi</w:t>
            </w:r>
            <w:r w:rsidR="00AF6E46">
              <w:rPr>
                <w:sz w:val="22"/>
              </w:rPr>
              <w:t>nars</w:t>
            </w:r>
            <w:r w:rsidR="00E95149">
              <w:rPr>
                <w:sz w:val="22"/>
              </w:rPr>
              <w:t xml:space="preserve"> (2)</w:t>
            </w:r>
          </w:p>
        </w:tc>
        <w:tc>
          <w:tcPr>
            <w:tcW w:w="1080" w:type="dxa"/>
          </w:tcPr>
          <w:p w:rsidR="008C40E2" w:rsidRDefault="008C40E2" w:rsidP="00CD35C0">
            <w:pPr>
              <w:pStyle w:val="BodyTextIndent"/>
              <w:ind w:left="0"/>
              <w:jc w:val="center"/>
              <w:rPr>
                <w:sz w:val="22"/>
              </w:rPr>
            </w:pPr>
          </w:p>
        </w:tc>
        <w:tc>
          <w:tcPr>
            <w:tcW w:w="1170" w:type="dxa"/>
          </w:tcPr>
          <w:p w:rsidR="008C40E2" w:rsidRDefault="00E95149" w:rsidP="00CD35C0">
            <w:pPr>
              <w:pStyle w:val="BodyTextIndent"/>
              <w:ind w:left="0"/>
              <w:jc w:val="center"/>
              <w:rPr>
                <w:sz w:val="22"/>
              </w:rPr>
            </w:pPr>
            <w:r>
              <w:rPr>
                <w:sz w:val="22"/>
              </w:rPr>
              <w:t>10</w:t>
            </w:r>
          </w:p>
        </w:tc>
        <w:tc>
          <w:tcPr>
            <w:tcW w:w="2160" w:type="dxa"/>
          </w:tcPr>
          <w:p w:rsidR="008C40E2" w:rsidRPr="00517E6D" w:rsidRDefault="008C40E2" w:rsidP="00CD35C0">
            <w:pPr>
              <w:pStyle w:val="BodyTextIndent"/>
              <w:ind w:left="0"/>
              <w:jc w:val="center"/>
              <w:rPr>
                <w:sz w:val="20"/>
                <w:szCs w:val="20"/>
              </w:rPr>
            </w:pPr>
          </w:p>
        </w:tc>
        <w:tc>
          <w:tcPr>
            <w:tcW w:w="1890" w:type="dxa"/>
          </w:tcPr>
          <w:p w:rsidR="008C40E2" w:rsidRPr="002D18E9" w:rsidRDefault="003A0615" w:rsidP="00CD35C0">
            <w:pPr>
              <w:pStyle w:val="BodyTextIndent"/>
              <w:ind w:left="0"/>
              <w:jc w:val="center"/>
              <w:rPr>
                <w:sz w:val="20"/>
              </w:rPr>
            </w:pPr>
            <w:r w:rsidRPr="002D18E9">
              <w:rPr>
                <w:sz w:val="20"/>
              </w:rPr>
              <w:t>OB</w:t>
            </w:r>
          </w:p>
        </w:tc>
      </w:tr>
      <w:tr w:rsidR="00054F16" w:rsidRPr="008C40E2" w:rsidTr="00054F16">
        <w:tc>
          <w:tcPr>
            <w:tcW w:w="540" w:type="dxa"/>
          </w:tcPr>
          <w:p w:rsidR="00054F16" w:rsidRDefault="00054F16" w:rsidP="00CD35C0">
            <w:pPr>
              <w:pStyle w:val="BodyTextIndent"/>
              <w:ind w:left="0"/>
              <w:jc w:val="center"/>
              <w:rPr>
                <w:sz w:val="22"/>
              </w:rPr>
            </w:pPr>
            <w:r>
              <w:rPr>
                <w:sz w:val="22"/>
              </w:rPr>
              <w:t>4</w:t>
            </w:r>
          </w:p>
        </w:tc>
        <w:tc>
          <w:tcPr>
            <w:tcW w:w="2520" w:type="dxa"/>
          </w:tcPr>
          <w:p w:rsidR="00054F16" w:rsidRDefault="00E95149" w:rsidP="00CD35C0">
            <w:pPr>
              <w:pStyle w:val="BodyTextIndent"/>
              <w:ind w:left="0"/>
              <w:jc w:val="left"/>
              <w:rPr>
                <w:sz w:val="22"/>
              </w:rPr>
            </w:pPr>
            <w:r>
              <w:rPr>
                <w:sz w:val="22"/>
              </w:rPr>
              <w:t>Q</w:t>
            </w:r>
            <w:r w:rsidR="00054F16">
              <w:rPr>
                <w:sz w:val="22"/>
              </w:rPr>
              <w:t>uizzes</w:t>
            </w:r>
            <w:r>
              <w:rPr>
                <w:sz w:val="22"/>
              </w:rPr>
              <w:t xml:space="preserve"> (2)</w:t>
            </w:r>
          </w:p>
        </w:tc>
        <w:tc>
          <w:tcPr>
            <w:tcW w:w="1080" w:type="dxa"/>
          </w:tcPr>
          <w:p w:rsidR="00054F16" w:rsidRDefault="00054F16" w:rsidP="00CD35C0">
            <w:pPr>
              <w:pStyle w:val="BodyTextIndent"/>
              <w:ind w:left="0"/>
              <w:jc w:val="center"/>
              <w:rPr>
                <w:sz w:val="22"/>
              </w:rPr>
            </w:pPr>
          </w:p>
        </w:tc>
        <w:tc>
          <w:tcPr>
            <w:tcW w:w="1170" w:type="dxa"/>
          </w:tcPr>
          <w:p w:rsidR="00054F16" w:rsidRDefault="00054F16" w:rsidP="00CD35C0">
            <w:pPr>
              <w:pStyle w:val="BodyTextIndent"/>
              <w:ind w:left="0"/>
              <w:jc w:val="center"/>
              <w:rPr>
                <w:sz w:val="22"/>
              </w:rPr>
            </w:pPr>
            <w:r>
              <w:rPr>
                <w:sz w:val="22"/>
              </w:rPr>
              <w:t>10</w:t>
            </w:r>
          </w:p>
        </w:tc>
        <w:tc>
          <w:tcPr>
            <w:tcW w:w="2160" w:type="dxa"/>
          </w:tcPr>
          <w:p w:rsidR="00054F16" w:rsidRPr="00517E6D" w:rsidRDefault="00054F16" w:rsidP="00CD35C0">
            <w:pPr>
              <w:pStyle w:val="BodyTextIndent"/>
              <w:ind w:left="0"/>
              <w:jc w:val="center"/>
              <w:rPr>
                <w:sz w:val="20"/>
                <w:szCs w:val="20"/>
              </w:rPr>
            </w:pPr>
          </w:p>
        </w:tc>
        <w:tc>
          <w:tcPr>
            <w:tcW w:w="1890" w:type="dxa"/>
          </w:tcPr>
          <w:p w:rsidR="00054F16" w:rsidRPr="002D18E9" w:rsidRDefault="00054F16" w:rsidP="00CD35C0">
            <w:pPr>
              <w:pStyle w:val="BodyTextIndent"/>
              <w:ind w:left="0"/>
              <w:jc w:val="center"/>
              <w:rPr>
                <w:sz w:val="20"/>
              </w:rPr>
            </w:pPr>
            <w:r>
              <w:rPr>
                <w:sz w:val="20"/>
              </w:rPr>
              <w:t>CB</w:t>
            </w:r>
          </w:p>
        </w:tc>
      </w:tr>
      <w:tr w:rsidR="008C40E2" w:rsidRPr="008C40E2" w:rsidTr="00054F16">
        <w:tc>
          <w:tcPr>
            <w:tcW w:w="540" w:type="dxa"/>
          </w:tcPr>
          <w:p w:rsidR="008C40E2" w:rsidRDefault="00054F16" w:rsidP="00CD35C0">
            <w:pPr>
              <w:pStyle w:val="BodyTextIndent"/>
              <w:ind w:left="0"/>
              <w:jc w:val="center"/>
              <w:rPr>
                <w:sz w:val="22"/>
              </w:rPr>
            </w:pPr>
            <w:r>
              <w:rPr>
                <w:sz w:val="22"/>
              </w:rPr>
              <w:t>5</w:t>
            </w:r>
          </w:p>
        </w:tc>
        <w:tc>
          <w:tcPr>
            <w:tcW w:w="2520" w:type="dxa"/>
          </w:tcPr>
          <w:p w:rsidR="008C40E2" w:rsidRDefault="00893927" w:rsidP="00CD35C0">
            <w:pPr>
              <w:pStyle w:val="BodyTextIndent"/>
              <w:ind w:left="0"/>
              <w:jc w:val="left"/>
              <w:rPr>
                <w:sz w:val="22"/>
              </w:rPr>
            </w:pPr>
            <w:r>
              <w:rPr>
                <w:sz w:val="22"/>
              </w:rPr>
              <w:t>Lab</w:t>
            </w:r>
            <w:r w:rsidR="00E33792">
              <w:rPr>
                <w:sz w:val="22"/>
              </w:rPr>
              <w:t xml:space="preserve"> experiments</w:t>
            </w:r>
          </w:p>
        </w:tc>
        <w:tc>
          <w:tcPr>
            <w:tcW w:w="1080" w:type="dxa"/>
          </w:tcPr>
          <w:p w:rsidR="008C40E2" w:rsidRDefault="008C40E2" w:rsidP="00CD35C0">
            <w:pPr>
              <w:pStyle w:val="BodyTextIndent"/>
              <w:ind w:left="0"/>
              <w:jc w:val="center"/>
              <w:rPr>
                <w:sz w:val="22"/>
              </w:rPr>
            </w:pPr>
          </w:p>
        </w:tc>
        <w:tc>
          <w:tcPr>
            <w:tcW w:w="1170" w:type="dxa"/>
          </w:tcPr>
          <w:p w:rsidR="008C40E2" w:rsidRDefault="00E95149" w:rsidP="00CD35C0">
            <w:pPr>
              <w:pStyle w:val="BodyTextIndent"/>
              <w:ind w:left="0"/>
              <w:jc w:val="center"/>
              <w:rPr>
                <w:sz w:val="22"/>
              </w:rPr>
            </w:pPr>
            <w:r>
              <w:rPr>
                <w:sz w:val="22"/>
              </w:rPr>
              <w:t>20</w:t>
            </w:r>
          </w:p>
        </w:tc>
        <w:tc>
          <w:tcPr>
            <w:tcW w:w="2160" w:type="dxa"/>
          </w:tcPr>
          <w:p w:rsidR="008C40E2" w:rsidRPr="00517E6D" w:rsidRDefault="008C40E2" w:rsidP="00CD35C0">
            <w:pPr>
              <w:pStyle w:val="BodyTextIndent"/>
              <w:ind w:left="0"/>
              <w:jc w:val="center"/>
              <w:rPr>
                <w:sz w:val="20"/>
                <w:szCs w:val="20"/>
              </w:rPr>
            </w:pPr>
          </w:p>
        </w:tc>
        <w:tc>
          <w:tcPr>
            <w:tcW w:w="1890" w:type="dxa"/>
          </w:tcPr>
          <w:p w:rsidR="008C40E2" w:rsidRPr="002D18E9" w:rsidRDefault="007962EF" w:rsidP="00CD35C0">
            <w:pPr>
              <w:pStyle w:val="BodyTextIndent"/>
              <w:ind w:left="0"/>
              <w:jc w:val="center"/>
              <w:rPr>
                <w:sz w:val="20"/>
              </w:rPr>
            </w:pPr>
            <w:r w:rsidRPr="002D18E9">
              <w:rPr>
                <w:sz w:val="20"/>
              </w:rPr>
              <w:t>OB</w:t>
            </w:r>
          </w:p>
        </w:tc>
      </w:tr>
    </w:tbl>
    <w:p w:rsidR="008C40E2" w:rsidRDefault="008C40E2">
      <w:pPr>
        <w:widowControl w:val="0"/>
        <w:autoSpaceDE w:val="0"/>
        <w:autoSpaceDN w:val="0"/>
        <w:adjustRightInd w:val="0"/>
        <w:spacing w:after="0" w:line="240" w:lineRule="auto"/>
        <w:rPr>
          <w:rFonts w:ascii="Times New Roman" w:hAnsi="Times New Roman"/>
          <w:b/>
          <w:bCs/>
          <w:sz w:val="20"/>
          <w:szCs w:val="20"/>
        </w:rPr>
      </w:pPr>
    </w:p>
    <w:p w:rsidR="008C40E2" w:rsidRPr="00054F16" w:rsidRDefault="00054F16" w:rsidP="00054F16">
      <w:pPr>
        <w:pStyle w:val="ListParagraph"/>
        <w:widowControl w:val="0"/>
        <w:numPr>
          <w:ilvl w:val="0"/>
          <w:numId w:val="5"/>
        </w:numPr>
        <w:autoSpaceDE w:val="0"/>
        <w:autoSpaceDN w:val="0"/>
        <w:adjustRightInd w:val="0"/>
        <w:spacing w:after="0" w:line="240" w:lineRule="auto"/>
        <w:ind w:left="360" w:hanging="270"/>
        <w:rPr>
          <w:rFonts w:ascii="Times New Roman" w:hAnsi="Times New Roman"/>
          <w:b/>
          <w:bCs/>
        </w:rPr>
      </w:pPr>
      <w:r w:rsidRPr="00054F16">
        <w:rPr>
          <w:rFonts w:ascii="Times New Roman" w:hAnsi="Times New Roman"/>
          <w:b/>
          <w:bCs/>
        </w:rPr>
        <w:t>Min</w:t>
      </w:r>
      <w:r>
        <w:rPr>
          <w:rFonts w:ascii="Times New Roman" w:hAnsi="Times New Roman"/>
          <w:b/>
          <w:bCs/>
        </w:rPr>
        <w:t>.</w:t>
      </w:r>
      <w:r w:rsidRPr="00054F16">
        <w:rPr>
          <w:rFonts w:ascii="Times New Roman" w:hAnsi="Times New Roman"/>
          <w:b/>
          <w:bCs/>
        </w:rPr>
        <w:t xml:space="preserve"> marks required to secure a valid grade is above 15% of total marks of all components.</w:t>
      </w:r>
    </w:p>
    <w:p w:rsidR="00237C83" w:rsidRPr="00054F16" w:rsidRDefault="00FF6F51" w:rsidP="00054F16">
      <w:pPr>
        <w:widowControl w:val="0"/>
        <w:numPr>
          <w:ilvl w:val="0"/>
          <w:numId w:val="5"/>
        </w:numPr>
        <w:overflowPunct w:val="0"/>
        <w:autoSpaceDE w:val="0"/>
        <w:autoSpaceDN w:val="0"/>
        <w:adjustRightInd w:val="0"/>
        <w:spacing w:after="0" w:line="240" w:lineRule="auto"/>
        <w:ind w:left="360" w:hanging="270"/>
        <w:jc w:val="both"/>
        <w:rPr>
          <w:rFonts w:ascii="Symbol" w:hAnsi="Symbol" w:cs="Symbol"/>
        </w:rPr>
      </w:pPr>
      <w:r w:rsidRPr="00054F16">
        <w:rPr>
          <w:rFonts w:ascii="Times New Roman" w:hAnsi="Times New Roman"/>
          <w:b/>
          <w:bCs/>
          <w:u w:val="single"/>
        </w:rPr>
        <w:t>Chamber consultation hour</w:t>
      </w:r>
      <w:r w:rsidRPr="00054F16">
        <w:rPr>
          <w:rFonts w:ascii="Times New Roman" w:hAnsi="Times New Roman"/>
        </w:rPr>
        <w:t>will be announced in the class.</w:t>
      </w:r>
    </w:p>
    <w:p w:rsidR="00237C83" w:rsidRPr="00054F16" w:rsidRDefault="00237C83" w:rsidP="00054F16">
      <w:pPr>
        <w:widowControl w:val="0"/>
        <w:autoSpaceDE w:val="0"/>
        <w:autoSpaceDN w:val="0"/>
        <w:adjustRightInd w:val="0"/>
        <w:spacing w:after="0" w:line="3" w:lineRule="exact"/>
        <w:ind w:left="360" w:hanging="270"/>
        <w:rPr>
          <w:rFonts w:ascii="Symbol" w:hAnsi="Symbol" w:cs="Symbol"/>
        </w:rPr>
      </w:pPr>
    </w:p>
    <w:p w:rsidR="00237C83" w:rsidRPr="00054F16" w:rsidRDefault="00FF6F51" w:rsidP="00054F16">
      <w:pPr>
        <w:widowControl w:val="0"/>
        <w:numPr>
          <w:ilvl w:val="0"/>
          <w:numId w:val="5"/>
        </w:numPr>
        <w:overflowPunct w:val="0"/>
        <w:autoSpaceDE w:val="0"/>
        <w:autoSpaceDN w:val="0"/>
        <w:adjustRightInd w:val="0"/>
        <w:spacing w:after="0" w:line="255" w:lineRule="auto"/>
        <w:ind w:left="360" w:right="120" w:hanging="270"/>
        <w:jc w:val="both"/>
        <w:rPr>
          <w:rFonts w:ascii="Symbol" w:hAnsi="Symbol" w:cs="Symbol"/>
        </w:rPr>
      </w:pPr>
      <w:r w:rsidRPr="00054F16">
        <w:rPr>
          <w:rFonts w:ascii="Times New Roman" w:hAnsi="Times New Roman"/>
        </w:rPr>
        <w:lastRenderedPageBreak/>
        <w:t xml:space="preserve">The </w:t>
      </w:r>
      <w:r w:rsidRPr="00054F16">
        <w:rPr>
          <w:rFonts w:ascii="Times New Roman" w:hAnsi="Times New Roman"/>
          <w:b/>
          <w:bCs/>
          <w:u w:val="single"/>
        </w:rPr>
        <w:t>notices</w:t>
      </w:r>
      <w:r w:rsidRPr="00054F16">
        <w:rPr>
          <w:rFonts w:ascii="Times New Roman" w:hAnsi="Times New Roman"/>
          <w:b/>
          <w:bCs/>
        </w:rPr>
        <w:t>,</w:t>
      </w:r>
      <w:r w:rsidRPr="00054F16">
        <w:rPr>
          <w:rFonts w:ascii="Times New Roman" w:hAnsi="Times New Roman"/>
        </w:rPr>
        <w:t xml:space="preserve"> if any</w:t>
      </w:r>
      <w:r w:rsidRPr="00054F16">
        <w:rPr>
          <w:rFonts w:ascii="Times New Roman" w:hAnsi="Times New Roman"/>
          <w:b/>
          <w:bCs/>
        </w:rPr>
        <w:t>,</w:t>
      </w:r>
      <w:r w:rsidRPr="00054F16">
        <w:rPr>
          <w:rFonts w:ascii="Times New Roman" w:hAnsi="Times New Roman"/>
        </w:rPr>
        <w:t xml:space="preserve"> concerning the course, will be displayed on the notice board of the Dep</w:t>
      </w:r>
      <w:r w:rsidR="00054F16" w:rsidRPr="00054F16">
        <w:rPr>
          <w:rFonts w:ascii="Times New Roman" w:hAnsi="Times New Roman"/>
        </w:rPr>
        <w:t>artment of Chemical Engineering</w:t>
      </w:r>
      <w:r w:rsidRPr="00054F16">
        <w:rPr>
          <w:rFonts w:ascii="Times New Roman" w:hAnsi="Times New Roman"/>
        </w:rPr>
        <w:t>.</w:t>
      </w:r>
    </w:p>
    <w:p w:rsidR="00237C83" w:rsidRPr="00054F16" w:rsidRDefault="00237C83" w:rsidP="00054F16">
      <w:pPr>
        <w:widowControl w:val="0"/>
        <w:autoSpaceDE w:val="0"/>
        <w:autoSpaceDN w:val="0"/>
        <w:adjustRightInd w:val="0"/>
        <w:spacing w:after="0" w:line="25" w:lineRule="exact"/>
        <w:ind w:left="360" w:hanging="270"/>
        <w:rPr>
          <w:rFonts w:ascii="Symbol" w:hAnsi="Symbol" w:cs="Symbol"/>
        </w:rPr>
      </w:pPr>
    </w:p>
    <w:p w:rsidR="00375761" w:rsidRPr="00375761" w:rsidRDefault="00FF6F51" w:rsidP="00054F16">
      <w:pPr>
        <w:widowControl w:val="0"/>
        <w:numPr>
          <w:ilvl w:val="0"/>
          <w:numId w:val="5"/>
        </w:numPr>
        <w:overflowPunct w:val="0"/>
        <w:autoSpaceDE w:val="0"/>
        <w:autoSpaceDN w:val="0"/>
        <w:adjustRightInd w:val="0"/>
        <w:spacing w:after="0" w:line="222" w:lineRule="auto"/>
        <w:ind w:left="360" w:right="120" w:hanging="270"/>
        <w:jc w:val="both"/>
        <w:rPr>
          <w:rFonts w:ascii="Symbol" w:hAnsi="Symbol" w:cs="Symbol"/>
        </w:rPr>
      </w:pPr>
      <w:r w:rsidRPr="00054F16">
        <w:rPr>
          <w:rFonts w:ascii="Times New Roman" w:hAnsi="Times New Roman"/>
          <w:b/>
          <w:bCs/>
          <w:u w:val="single"/>
        </w:rPr>
        <w:t>Make-up</w:t>
      </w:r>
      <w:r w:rsidRPr="00054F16">
        <w:rPr>
          <w:rFonts w:ascii="Times New Roman" w:hAnsi="Times New Roman"/>
        </w:rPr>
        <w:t>will be granted for</w:t>
      </w:r>
      <w:r w:rsidRPr="00054F16">
        <w:rPr>
          <w:rFonts w:ascii="Times New Roman" w:hAnsi="Times New Roman"/>
          <w:b/>
          <w:bCs/>
          <w:u w:val="single"/>
        </w:rPr>
        <w:t>genuine cases only</w:t>
      </w:r>
      <w:r w:rsidRPr="00054F16">
        <w:rPr>
          <w:rFonts w:ascii="Times New Roman" w:hAnsi="Times New Roman"/>
        </w:rPr>
        <w:t>. Prior permission of IC is compulsory.</w:t>
      </w:r>
    </w:p>
    <w:p w:rsidR="00375761" w:rsidRDefault="00375761" w:rsidP="00375761">
      <w:pPr>
        <w:pStyle w:val="ListParagraph"/>
        <w:rPr>
          <w:rFonts w:ascii="Times New Roman" w:hAnsi="Times New Roman"/>
        </w:rPr>
      </w:pPr>
    </w:p>
    <w:p w:rsidR="00237C83" w:rsidRPr="00054F16" w:rsidRDefault="00FF6F51" w:rsidP="00375761">
      <w:pPr>
        <w:widowControl w:val="0"/>
        <w:overflowPunct w:val="0"/>
        <w:autoSpaceDE w:val="0"/>
        <w:autoSpaceDN w:val="0"/>
        <w:adjustRightInd w:val="0"/>
        <w:spacing w:after="0" w:line="222" w:lineRule="auto"/>
        <w:ind w:right="120"/>
        <w:jc w:val="both"/>
        <w:rPr>
          <w:rFonts w:ascii="Symbol" w:hAnsi="Symbol" w:cs="Symbol"/>
        </w:rPr>
      </w:pPr>
      <w:r w:rsidRPr="00054F16">
        <w:rPr>
          <w:rFonts w:ascii="Times New Roman" w:hAnsi="Times New Roman"/>
        </w:rPr>
        <w:t xml:space="preserve"> </w:t>
      </w:r>
    </w:p>
    <w:p w:rsidR="00237C83" w:rsidRDefault="00237C83">
      <w:pPr>
        <w:widowControl w:val="0"/>
        <w:autoSpaceDE w:val="0"/>
        <w:autoSpaceDN w:val="0"/>
        <w:adjustRightInd w:val="0"/>
        <w:spacing w:after="0" w:line="1" w:lineRule="exact"/>
        <w:rPr>
          <w:rFonts w:ascii="Times New Roman" w:hAnsi="Times New Roman"/>
          <w:sz w:val="24"/>
          <w:szCs w:val="24"/>
        </w:rPr>
      </w:pPr>
    </w:p>
    <w:p w:rsidR="008C40E2" w:rsidRDefault="008C40E2">
      <w:pPr>
        <w:widowControl w:val="0"/>
        <w:autoSpaceDE w:val="0"/>
        <w:autoSpaceDN w:val="0"/>
        <w:adjustRightInd w:val="0"/>
        <w:spacing w:after="0" w:line="240" w:lineRule="auto"/>
        <w:ind w:left="6200"/>
        <w:rPr>
          <w:rFonts w:ascii="Times New Roman" w:hAnsi="Times New Roman"/>
          <w:b/>
          <w:bCs/>
          <w:sz w:val="20"/>
          <w:szCs w:val="20"/>
        </w:rPr>
      </w:pPr>
    </w:p>
    <w:p w:rsidR="00375761" w:rsidRDefault="00375761">
      <w:pPr>
        <w:widowControl w:val="0"/>
        <w:autoSpaceDE w:val="0"/>
        <w:autoSpaceDN w:val="0"/>
        <w:adjustRightInd w:val="0"/>
        <w:spacing w:after="0" w:line="240" w:lineRule="auto"/>
        <w:ind w:left="6200"/>
        <w:rPr>
          <w:rFonts w:ascii="Times New Roman" w:hAnsi="Times New Roman"/>
          <w:b/>
          <w:bCs/>
          <w:sz w:val="20"/>
          <w:szCs w:val="20"/>
        </w:rPr>
      </w:pPr>
    </w:p>
    <w:p w:rsidR="00375761" w:rsidRDefault="00375761">
      <w:pPr>
        <w:widowControl w:val="0"/>
        <w:autoSpaceDE w:val="0"/>
        <w:autoSpaceDN w:val="0"/>
        <w:adjustRightInd w:val="0"/>
        <w:spacing w:after="0" w:line="240" w:lineRule="auto"/>
        <w:ind w:left="6200"/>
        <w:rPr>
          <w:rFonts w:ascii="Times New Roman" w:hAnsi="Times New Roman"/>
          <w:b/>
          <w:bCs/>
          <w:sz w:val="20"/>
          <w:szCs w:val="20"/>
        </w:rPr>
      </w:pPr>
    </w:p>
    <w:p w:rsidR="00375761" w:rsidRPr="000F28E6" w:rsidRDefault="00375761" w:rsidP="00375761">
      <w:pPr>
        <w:widowControl w:val="0"/>
        <w:autoSpaceDE w:val="0"/>
        <w:autoSpaceDN w:val="0"/>
        <w:adjustRightInd w:val="0"/>
        <w:spacing w:after="0" w:line="240" w:lineRule="auto"/>
        <w:rPr>
          <w:rFonts w:ascii="Times New Roman" w:hAnsi="Times New Roman"/>
          <w:bCs/>
        </w:rPr>
      </w:pPr>
      <w:r w:rsidRPr="000F28E6">
        <w:rPr>
          <w:rFonts w:ascii="Times New Roman" w:hAnsi="Times New Roman"/>
          <w:b/>
          <w:bCs/>
        </w:rPr>
        <w:t>Academic Honesty and Integrity Policy:</w:t>
      </w:r>
      <w:r w:rsidRPr="000F28E6">
        <w:rPr>
          <w:rFonts w:ascii="Times New Roman" w:hAnsi="Times New Roman"/>
          <w:bCs/>
        </w:rPr>
        <w:t> Academic honesty and integrity are to be maintained by all the students throughout the semester and no type of academic dishonesty is acceptable.</w:t>
      </w:r>
    </w:p>
    <w:p w:rsidR="000F0B69" w:rsidRDefault="000F0B69" w:rsidP="00375761">
      <w:pPr>
        <w:widowControl w:val="0"/>
        <w:autoSpaceDE w:val="0"/>
        <w:autoSpaceDN w:val="0"/>
        <w:adjustRightInd w:val="0"/>
        <w:spacing w:after="0" w:line="240" w:lineRule="auto"/>
        <w:rPr>
          <w:color w:val="222222"/>
          <w:spacing w:val="-2"/>
          <w:shd w:val="clear" w:color="auto" w:fill="FFFFFF"/>
        </w:rPr>
      </w:pPr>
    </w:p>
    <w:p w:rsidR="000F0B69" w:rsidRDefault="000F0B69" w:rsidP="00375761">
      <w:pPr>
        <w:widowControl w:val="0"/>
        <w:autoSpaceDE w:val="0"/>
        <w:autoSpaceDN w:val="0"/>
        <w:adjustRightInd w:val="0"/>
        <w:spacing w:after="0" w:line="240" w:lineRule="auto"/>
        <w:rPr>
          <w:rFonts w:ascii="Times New Roman" w:hAnsi="Times New Roman"/>
          <w:b/>
          <w:bCs/>
          <w:sz w:val="20"/>
          <w:szCs w:val="20"/>
        </w:rPr>
      </w:pPr>
    </w:p>
    <w:p w:rsidR="00375761" w:rsidRDefault="00375761">
      <w:pPr>
        <w:widowControl w:val="0"/>
        <w:autoSpaceDE w:val="0"/>
        <w:autoSpaceDN w:val="0"/>
        <w:adjustRightInd w:val="0"/>
        <w:spacing w:after="0" w:line="240" w:lineRule="auto"/>
        <w:ind w:left="6200"/>
        <w:rPr>
          <w:rFonts w:ascii="Times New Roman" w:hAnsi="Times New Roman"/>
          <w:b/>
          <w:bCs/>
          <w:sz w:val="20"/>
          <w:szCs w:val="20"/>
        </w:rPr>
      </w:pPr>
    </w:p>
    <w:p w:rsidR="00237C83" w:rsidRDefault="008C40E2" w:rsidP="008C40E2">
      <w:pPr>
        <w:widowControl w:val="0"/>
        <w:autoSpaceDE w:val="0"/>
        <w:autoSpaceDN w:val="0"/>
        <w:adjustRightInd w:val="0"/>
        <w:spacing w:after="0" w:line="240" w:lineRule="auto"/>
        <w:ind w:left="6200"/>
        <w:rPr>
          <w:rFonts w:ascii="Times New Roman" w:hAnsi="Times New Roman"/>
          <w:sz w:val="24"/>
          <w:szCs w:val="24"/>
        </w:rPr>
        <w:sectPr w:rsidR="00237C83" w:rsidSect="0086198A">
          <w:type w:val="continuous"/>
          <w:pgSz w:w="11906" w:h="16838"/>
          <w:pgMar w:top="360" w:right="1320" w:bottom="126" w:left="1440" w:header="720" w:footer="720" w:gutter="0"/>
          <w:cols w:space="120" w:equalWidth="0">
            <w:col w:w="9140" w:space="120"/>
          </w:cols>
          <w:noEndnote/>
        </w:sectPr>
      </w:pPr>
      <w:r>
        <w:rPr>
          <w:rFonts w:ascii="Times New Roman" w:hAnsi="Times New Roman"/>
          <w:b/>
          <w:bCs/>
          <w:sz w:val="20"/>
          <w:szCs w:val="20"/>
        </w:rPr>
        <w:t>I</w:t>
      </w:r>
      <w:r w:rsidR="00FF6F51">
        <w:rPr>
          <w:rFonts w:ascii="Times New Roman" w:hAnsi="Times New Roman"/>
          <w:b/>
          <w:bCs/>
          <w:sz w:val="20"/>
          <w:szCs w:val="20"/>
        </w:rPr>
        <w:t>nstructor-in-charge ǀ CHE G641</w:t>
      </w:r>
      <w:r w:rsidR="007367A4">
        <w:rPr>
          <w:noProof/>
          <w:lang w:val="en-IN" w:eastAsia="en-IN"/>
        </w:rPr>
        <w:drawing>
          <wp:anchor distT="0" distB="0" distL="114300" distR="114300" simplePos="0" relativeHeight="251704832" behindDoc="1" locked="0" layoutInCell="0" allowOverlap="1">
            <wp:simplePos x="0" y="0"/>
            <wp:positionH relativeFrom="column">
              <wp:posOffset>-17780</wp:posOffset>
            </wp:positionH>
            <wp:positionV relativeFrom="paragraph">
              <wp:posOffset>958850</wp:posOffset>
            </wp:positionV>
            <wp:extent cx="5768340" cy="444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340" cy="4445"/>
                    </a:xfrm>
                    <a:prstGeom prst="rect">
                      <a:avLst/>
                    </a:prstGeom>
                    <a:noFill/>
                  </pic:spPr>
                </pic:pic>
              </a:graphicData>
            </a:graphic>
          </wp:anchor>
        </w:drawing>
      </w:r>
    </w:p>
    <w:p w:rsidR="00237C83" w:rsidRDefault="00237C83">
      <w:pPr>
        <w:widowControl w:val="0"/>
        <w:autoSpaceDE w:val="0"/>
        <w:autoSpaceDN w:val="0"/>
        <w:adjustRightInd w:val="0"/>
        <w:spacing w:after="0" w:line="200" w:lineRule="exact"/>
        <w:rPr>
          <w:rFonts w:ascii="Times New Roman" w:hAnsi="Times New Roman"/>
          <w:sz w:val="24"/>
          <w:szCs w:val="24"/>
        </w:rPr>
      </w:pPr>
    </w:p>
    <w:sectPr w:rsidR="00237C83" w:rsidSect="00D36C50">
      <w:type w:val="continuous"/>
      <w:pgSz w:w="11906" w:h="16838"/>
      <w:pgMar w:top="700" w:right="1500" w:bottom="126" w:left="9600" w:header="720" w:footer="720" w:gutter="0"/>
      <w:cols w:space="120" w:equalWidth="0">
        <w:col w:w="800" w:space="1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785280"/>
    <w:multiLevelType w:val="hybridMultilevel"/>
    <w:tmpl w:val="429A6294"/>
    <w:lvl w:ilvl="0" w:tplc="D7AC915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801D8"/>
    <w:multiLevelType w:val="hybridMultilevel"/>
    <w:tmpl w:val="DDC8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D6F5A"/>
    <w:multiLevelType w:val="hybridMultilevel"/>
    <w:tmpl w:val="5FE42202"/>
    <w:lvl w:ilvl="0" w:tplc="D7AC915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D7665"/>
    <w:multiLevelType w:val="hybridMultilevel"/>
    <w:tmpl w:val="C02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2"/>
  </w:compat>
  <w:rsids>
    <w:rsidRoot w:val="00FF6F51"/>
    <w:rsid w:val="00033F33"/>
    <w:rsid w:val="00054F16"/>
    <w:rsid w:val="000A42AB"/>
    <w:rsid w:val="000A7AEE"/>
    <w:rsid w:val="000F0B69"/>
    <w:rsid w:val="000F28E6"/>
    <w:rsid w:val="001205AD"/>
    <w:rsid w:val="001266CF"/>
    <w:rsid w:val="001B3346"/>
    <w:rsid w:val="001D2EA4"/>
    <w:rsid w:val="00237C83"/>
    <w:rsid w:val="002A7CD5"/>
    <w:rsid w:val="002B39F5"/>
    <w:rsid w:val="002D18E9"/>
    <w:rsid w:val="002F5111"/>
    <w:rsid w:val="00315151"/>
    <w:rsid w:val="003424A2"/>
    <w:rsid w:val="0034321E"/>
    <w:rsid w:val="00375761"/>
    <w:rsid w:val="003A0615"/>
    <w:rsid w:val="00410635"/>
    <w:rsid w:val="004E46A2"/>
    <w:rsid w:val="00517E6D"/>
    <w:rsid w:val="00553092"/>
    <w:rsid w:val="00651DA0"/>
    <w:rsid w:val="007367A4"/>
    <w:rsid w:val="007962EF"/>
    <w:rsid w:val="007F395E"/>
    <w:rsid w:val="007F5904"/>
    <w:rsid w:val="0086198A"/>
    <w:rsid w:val="0087405B"/>
    <w:rsid w:val="00893927"/>
    <w:rsid w:val="008B3C65"/>
    <w:rsid w:val="008C40E2"/>
    <w:rsid w:val="00985964"/>
    <w:rsid w:val="00AD3736"/>
    <w:rsid w:val="00AF6E46"/>
    <w:rsid w:val="00B01C11"/>
    <w:rsid w:val="00B411E0"/>
    <w:rsid w:val="00BD08CE"/>
    <w:rsid w:val="00CB37C6"/>
    <w:rsid w:val="00CD23F5"/>
    <w:rsid w:val="00CD35C0"/>
    <w:rsid w:val="00D36C50"/>
    <w:rsid w:val="00D375D9"/>
    <w:rsid w:val="00DA347F"/>
    <w:rsid w:val="00DF0B6E"/>
    <w:rsid w:val="00E11A93"/>
    <w:rsid w:val="00E33792"/>
    <w:rsid w:val="00E95149"/>
    <w:rsid w:val="00EA6B22"/>
    <w:rsid w:val="00ED2A20"/>
    <w:rsid w:val="00F310B5"/>
    <w:rsid w:val="00FB001A"/>
    <w:rsid w:val="00FF6F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725462C-712B-40FB-939B-244348AA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C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C40E2"/>
    <w:pPr>
      <w:spacing w:after="0" w:line="240" w:lineRule="auto"/>
      <w:ind w:left="2880"/>
      <w:jc w:val="both"/>
    </w:pPr>
    <w:rPr>
      <w:rFonts w:ascii="Times New Roman" w:hAnsi="Times New Roman"/>
      <w:sz w:val="24"/>
      <w:szCs w:val="24"/>
    </w:rPr>
  </w:style>
  <w:style w:type="character" w:customStyle="1" w:styleId="BodyTextIndentChar">
    <w:name w:val="Body Text Indent Char"/>
    <w:link w:val="BodyTextIndent"/>
    <w:rsid w:val="008C40E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7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E6D"/>
    <w:rPr>
      <w:rFonts w:ascii="Tahoma" w:hAnsi="Tahoma" w:cs="Tahoma"/>
      <w:sz w:val="16"/>
      <w:szCs w:val="16"/>
    </w:rPr>
  </w:style>
  <w:style w:type="table" w:styleId="TableGrid">
    <w:name w:val="Table Grid"/>
    <w:basedOn w:val="TableNormal"/>
    <w:uiPriority w:val="59"/>
    <w:rsid w:val="000A4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F98BC-AEAF-4BDA-AC58-061D3736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Faculty-bits</dc:creator>
  <cp:lastModifiedBy>Windows User</cp:lastModifiedBy>
  <cp:revision>36</cp:revision>
  <cp:lastPrinted>2018-01-08T04:10:00Z</cp:lastPrinted>
  <dcterms:created xsi:type="dcterms:W3CDTF">2016-11-29T04:14:00Z</dcterms:created>
  <dcterms:modified xsi:type="dcterms:W3CDTF">2020-01-04T11:24:00Z</dcterms:modified>
</cp:coreProperties>
</file>