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598" w:rsidRDefault="00B50584" w:rsidP="00562598">
      <w:pPr>
        <w:jc w:val="center"/>
        <w:rPr>
          <w:b/>
          <w:bCs/>
        </w:rPr>
      </w:pPr>
      <w:bookmarkStart w:id="0" w:name="_GoBack"/>
      <w:bookmarkEnd w:id="0"/>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29171E">
      <w:pPr>
        <w:jc w:val="center"/>
        <w:rPr>
          <w:b/>
          <w:bCs/>
        </w:rPr>
      </w:pPr>
      <w:r>
        <w:rPr>
          <w:b/>
          <w:bCs/>
        </w:rPr>
        <w:t xml:space="preserve">SECOND </w:t>
      </w:r>
      <w:r w:rsidR="00FB4DE4">
        <w:rPr>
          <w:b/>
          <w:bCs/>
        </w:rPr>
        <w:t>SEMESTER 20</w:t>
      </w:r>
      <w:r w:rsidR="000E5C94">
        <w:rPr>
          <w:b/>
          <w:bCs/>
        </w:rPr>
        <w:t>1</w:t>
      </w:r>
      <w:r w:rsidR="006579C3">
        <w:rPr>
          <w:b/>
          <w:bCs/>
        </w:rPr>
        <w:t>9</w:t>
      </w:r>
      <w:r w:rsidR="00FB4DE4">
        <w:rPr>
          <w:b/>
          <w:bCs/>
        </w:rPr>
        <w:t>-</w:t>
      </w:r>
      <w:r>
        <w:rPr>
          <w:b/>
          <w:bCs/>
        </w:rPr>
        <w:t>20</w:t>
      </w:r>
      <w:r w:rsidR="006579C3">
        <w:rPr>
          <w:b/>
          <w:bCs/>
        </w:rPr>
        <w:t>20</w:t>
      </w:r>
    </w:p>
    <w:p w:rsidR="00AD25E1" w:rsidRPr="002C25C9" w:rsidRDefault="00AD25E1">
      <w:pPr>
        <w:pStyle w:val="Heading1"/>
        <w:jc w:val="center"/>
        <w:rPr>
          <w:i/>
        </w:rPr>
      </w:pPr>
      <w:r w:rsidRPr="002C25C9">
        <w:rPr>
          <w:i/>
        </w:rPr>
        <w:t>Course Handout Part II</w:t>
      </w:r>
    </w:p>
    <w:p w:rsidR="00AD25E1" w:rsidRPr="00553AFE" w:rsidRDefault="007543E4" w:rsidP="00562598">
      <w:pPr>
        <w:jc w:val="right"/>
        <w:rPr>
          <w:b/>
        </w:rPr>
      </w:pPr>
      <w:r>
        <w:tab/>
      </w:r>
      <w:r>
        <w:tab/>
      </w:r>
      <w:r>
        <w:tab/>
      </w:r>
      <w:r>
        <w:tab/>
      </w:r>
      <w:r>
        <w:tab/>
      </w:r>
      <w:r>
        <w:tab/>
      </w:r>
      <w:r>
        <w:tab/>
      </w:r>
      <w:r>
        <w:tab/>
      </w:r>
      <w:r>
        <w:tab/>
      </w:r>
      <w:r>
        <w:tab/>
      </w:r>
      <w:r w:rsidR="00507A43" w:rsidRPr="00553AFE">
        <w:rPr>
          <w:b/>
        </w:rPr>
        <w:t xml:space="preserve">Date: </w:t>
      </w:r>
      <w:r w:rsidR="00F931D2">
        <w:rPr>
          <w:b/>
        </w:rPr>
        <w:t>29</w:t>
      </w:r>
      <w:r w:rsidR="00650244">
        <w:rPr>
          <w:b/>
        </w:rPr>
        <w:t>/</w:t>
      </w:r>
      <w:r w:rsidR="00F931D2">
        <w:rPr>
          <w:b/>
        </w:rPr>
        <w:t>11</w:t>
      </w:r>
      <w:r w:rsidR="00650244">
        <w:rPr>
          <w:b/>
        </w:rPr>
        <w:t>/201</w:t>
      </w:r>
      <w:r w:rsidR="00D149A5">
        <w:rPr>
          <w:b/>
        </w:rPr>
        <w:t>9</w:t>
      </w:r>
    </w:p>
    <w:p w:rsidR="00AD25E1" w:rsidRDefault="00AD25E1">
      <w:pPr>
        <w:pStyle w:val="BodyText"/>
      </w:pPr>
      <w:r>
        <w:t xml:space="preserve">In addition to </w:t>
      </w:r>
      <w:r w:rsidR="00F931D2">
        <w:t>P</w:t>
      </w:r>
      <w:r>
        <w:t>art-I (General Handout for all courses appended to the time table)</w:t>
      </w:r>
      <w:r w:rsidR="00695F7F">
        <w:t>,</w:t>
      </w:r>
      <w:r>
        <w:t xml:space="preserve"> this portion gives further specific details regarding the course.</w:t>
      </w:r>
    </w:p>
    <w:p w:rsidR="00AD25E1" w:rsidRDefault="00AD25E1" w:rsidP="00F70B0A">
      <w:pPr>
        <w:spacing w:line="120" w:lineRule="auto"/>
      </w:pPr>
    </w:p>
    <w:p w:rsidR="00AD25E1" w:rsidRDefault="00AD25E1">
      <w:pPr>
        <w:rPr>
          <w:i/>
          <w:iCs/>
        </w:rPr>
      </w:pPr>
      <w:r>
        <w:rPr>
          <w:i/>
          <w:iCs/>
        </w:rPr>
        <w:t>Course No.</w:t>
      </w:r>
      <w:r w:rsidR="0029171E">
        <w:tab/>
      </w:r>
      <w:r w:rsidR="0029171E">
        <w:tab/>
      </w:r>
      <w:r w:rsidR="0029171E">
        <w:tab/>
        <w:t xml:space="preserve">:  </w:t>
      </w:r>
      <w:r w:rsidR="0029171E" w:rsidRPr="0029171E">
        <w:t>ME G5</w:t>
      </w:r>
      <w:r w:rsidR="009A1E1B">
        <w:t>34</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A1E1B" w:rsidRPr="009A1E1B">
        <w:rPr>
          <w:i w:val="0"/>
          <w:iCs w:val="0"/>
        </w:rPr>
        <w:t>CONVECTIVE HEAT AND MASS TRANSFER</w:t>
      </w:r>
    </w:p>
    <w:p w:rsidR="0029171E" w:rsidRDefault="00AD25E1" w:rsidP="002C2431">
      <w:pPr>
        <w:pStyle w:val="Heading2"/>
        <w:rPr>
          <w:i w:val="0"/>
          <w:iCs w:val="0"/>
        </w:rPr>
      </w:pPr>
      <w:r>
        <w:t>Instructor-in-Charge</w:t>
      </w:r>
      <w:r>
        <w:rPr>
          <w:i w:val="0"/>
          <w:iCs w:val="0"/>
        </w:rPr>
        <w:tab/>
      </w:r>
      <w:r>
        <w:rPr>
          <w:i w:val="0"/>
          <w:iCs w:val="0"/>
        </w:rPr>
        <w:tab/>
        <w:t xml:space="preserve">: </w:t>
      </w:r>
      <w:r w:rsidR="000E5C94" w:rsidRPr="00650244">
        <w:rPr>
          <w:i w:val="0"/>
          <w:iCs w:val="0"/>
        </w:rPr>
        <w:t>JEEVAN JAIDI</w:t>
      </w:r>
    </w:p>
    <w:p w:rsidR="00FD5075" w:rsidRDefault="00FD5075" w:rsidP="00FD5075">
      <w:pPr>
        <w:pStyle w:val="Heading2"/>
        <w:rPr>
          <w:i w:val="0"/>
          <w:iCs w:val="0"/>
        </w:rPr>
      </w:pPr>
      <w:r>
        <w:t>Instructors</w:t>
      </w:r>
      <w:r w:rsidR="00F931D2">
        <w:rPr>
          <w:i w:val="0"/>
          <w:iCs w:val="0"/>
        </w:rPr>
        <w:tab/>
      </w:r>
      <w:r w:rsidR="00F931D2">
        <w:rPr>
          <w:i w:val="0"/>
          <w:iCs w:val="0"/>
        </w:rPr>
        <w:tab/>
      </w:r>
      <w:r w:rsidR="00F931D2">
        <w:rPr>
          <w:i w:val="0"/>
          <w:iCs w:val="0"/>
        </w:rPr>
        <w:tab/>
        <w:t xml:space="preserve">:  </w:t>
      </w:r>
      <w:proofErr w:type="spellStart"/>
      <w:r w:rsidR="00F931D2">
        <w:rPr>
          <w:i w:val="0"/>
          <w:iCs w:val="0"/>
        </w:rPr>
        <w:t>Jeevan</w:t>
      </w:r>
      <w:proofErr w:type="spellEnd"/>
      <w:r w:rsidR="00F931D2">
        <w:rPr>
          <w:i w:val="0"/>
          <w:iCs w:val="0"/>
        </w:rPr>
        <w:t xml:space="preserve"> </w:t>
      </w:r>
      <w:proofErr w:type="spellStart"/>
      <w:r w:rsidR="00F931D2">
        <w:rPr>
          <w:i w:val="0"/>
          <w:iCs w:val="0"/>
        </w:rPr>
        <w:t>Jaidi</w:t>
      </w:r>
      <w:proofErr w:type="spellEnd"/>
    </w:p>
    <w:p w:rsidR="00FD5075" w:rsidRDefault="00FD5075" w:rsidP="00FD5075"/>
    <w:p w:rsidR="004346B8" w:rsidRPr="004346B8" w:rsidRDefault="004346B8" w:rsidP="00FD5075">
      <w:pPr>
        <w:rPr>
          <w:b/>
        </w:rPr>
      </w:pPr>
      <w:r w:rsidRPr="004346B8">
        <w:rPr>
          <w:b/>
        </w:rPr>
        <w:t>Course Description:</w:t>
      </w:r>
    </w:p>
    <w:p w:rsidR="004346B8" w:rsidRDefault="00A43DC5" w:rsidP="00A43DC5">
      <w:pPr>
        <w:autoSpaceDE w:val="0"/>
        <w:autoSpaceDN w:val="0"/>
        <w:adjustRightInd w:val="0"/>
        <w:jc w:val="both"/>
      </w:pPr>
      <w:r w:rsidRPr="00A43DC5">
        <w:t xml:space="preserve">Conservation equations, boundary layers, free convection, forced convection. Heat transfer in laminar and turbulent, internal as well as external flows, mixed convection. </w:t>
      </w:r>
      <w:proofErr w:type="gramStart"/>
      <w:r w:rsidRPr="00A43DC5">
        <w:t>Combined convection and radiation.</w:t>
      </w:r>
      <w:proofErr w:type="gramEnd"/>
      <w:r w:rsidRPr="00A43DC5">
        <w:t xml:space="preserve"> </w:t>
      </w:r>
      <w:proofErr w:type="gramStart"/>
      <w:r w:rsidRPr="00A43DC5">
        <w:t>Boiling and Condensation.</w:t>
      </w:r>
      <w:proofErr w:type="gramEnd"/>
      <w:r w:rsidRPr="00A43DC5">
        <w:t xml:space="preserve"> </w:t>
      </w:r>
      <w:proofErr w:type="gramStart"/>
      <w:r w:rsidRPr="00A43DC5">
        <w:t>Molecular diffusion in fluids, mass transfer coefficient.</w:t>
      </w:r>
      <w:proofErr w:type="gramEnd"/>
      <w:r w:rsidRPr="00A43DC5">
        <w:t xml:space="preserve"> </w:t>
      </w:r>
      <w:proofErr w:type="gramStart"/>
      <w:r w:rsidRPr="00A43DC5">
        <w:t>Simultaneous heat and mass transfer; Applications.</w:t>
      </w:r>
      <w:proofErr w:type="gramEnd"/>
    </w:p>
    <w:p w:rsidR="004346B8" w:rsidRPr="00FD5075" w:rsidRDefault="004346B8" w:rsidP="00FD5075"/>
    <w:p w:rsidR="00AD25E1" w:rsidRDefault="00AD25E1" w:rsidP="00F70B0A">
      <w:pPr>
        <w:spacing w:line="120" w:lineRule="auto"/>
      </w:pPr>
    </w:p>
    <w:p w:rsidR="00AD25E1" w:rsidRPr="00312259" w:rsidRDefault="00AD25E1" w:rsidP="00312259">
      <w:pPr>
        <w:pStyle w:val="ListParagraph"/>
        <w:numPr>
          <w:ilvl w:val="0"/>
          <w:numId w:val="4"/>
        </w:numPr>
        <w:spacing w:after="120"/>
        <w:rPr>
          <w:b/>
          <w:bCs/>
        </w:rPr>
      </w:pPr>
      <w:r w:rsidRPr="00312259">
        <w:rPr>
          <w:b/>
          <w:bCs/>
        </w:rPr>
        <w:t xml:space="preserve">Scope </w:t>
      </w:r>
      <w:r w:rsidR="00ED447B" w:rsidRPr="00312259">
        <w:rPr>
          <w:b/>
          <w:bCs/>
        </w:rPr>
        <w:t xml:space="preserve">and </w:t>
      </w:r>
      <w:r w:rsidRPr="00312259">
        <w:rPr>
          <w:b/>
          <w:bCs/>
        </w:rPr>
        <w:t>Objective of the Course:</w:t>
      </w:r>
    </w:p>
    <w:p w:rsidR="009A1E1B" w:rsidRDefault="009A1E1B" w:rsidP="002E6C2D">
      <w:pPr>
        <w:pStyle w:val="BodyText"/>
        <w:spacing w:line="276" w:lineRule="auto"/>
      </w:pPr>
      <w:r w:rsidRPr="009A1E1B">
        <w:t xml:space="preserve">This course has been designed to </w:t>
      </w:r>
      <w:r w:rsidR="00C317F2">
        <w:t xml:space="preserve">discuss </w:t>
      </w:r>
      <w:r w:rsidRPr="009A1E1B">
        <w:t>various modes of convective heat transfers possible in real time applications coupled with relevant theories. It covers possible combinations of laminar and turbulent flows, internal and external flows, and natural and forced convection</w:t>
      </w:r>
      <w:r w:rsidR="00C317F2">
        <w:t xml:space="preserve"> with mass transfer </w:t>
      </w:r>
      <w:proofErr w:type="spellStart"/>
      <w:r w:rsidR="00C317F2">
        <w:t>aspects.</w:t>
      </w:r>
      <w:r>
        <w:t>The</w:t>
      </w:r>
      <w:proofErr w:type="spellEnd"/>
      <w:r>
        <w:t xml:space="preserve"> course </w:t>
      </w:r>
      <w:r w:rsidR="00C317F2">
        <w:t xml:space="preserve">primarily </w:t>
      </w:r>
      <w:r>
        <w:t>covers the following topics: C</w:t>
      </w:r>
      <w:r w:rsidRPr="009A1E1B">
        <w:t xml:space="preserve">oncepts and </w:t>
      </w:r>
      <w:proofErr w:type="spellStart"/>
      <w:r w:rsidRPr="009A1E1B">
        <w:t>heatlines</w:t>
      </w:r>
      <w:proofErr w:type="spellEnd"/>
      <w:r>
        <w:t>; L</w:t>
      </w:r>
      <w:r w:rsidRPr="009A1E1B">
        <w:t xml:space="preserve">aminar external flow, similarity solutions; </w:t>
      </w:r>
      <w:r>
        <w:t>L</w:t>
      </w:r>
      <w:r w:rsidRPr="009A1E1B">
        <w:t xml:space="preserve">aminar duct flow, developing and fully developed flow; External natural convection, mixed convection; Natural convection in enclosures; Turbulent boundary layer flow, Mixing-Length model, external flows; Turbulent duct flow, friction factor and pressure drop, heat transfer coefficient; Convection during condensation and boiling; Mass </w:t>
      </w:r>
      <w:proofErr w:type="gramStart"/>
      <w:r w:rsidRPr="009A1E1B">
        <w:t>transfer</w:t>
      </w:r>
      <w:proofErr w:type="gramEnd"/>
      <w:r w:rsidRPr="009A1E1B">
        <w:t>.</w:t>
      </w:r>
    </w:p>
    <w:p w:rsidR="00312259" w:rsidRDefault="00312259" w:rsidP="00AC11B3">
      <w:pPr>
        <w:spacing w:line="36" w:lineRule="auto"/>
        <w:ind w:left="360"/>
      </w:pPr>
    </w:p>
    <w:p w:rsidR="00AC11B3" w:rsidRPr="00CA693E" w:rsidRDefault="00AC11B3" w:rsidP="00AC11B3">
      <w:pPr>
        <w:spacing w:line="36" w:lineRule="auto"/>
        <w:ind w:left="360"/>
      </w:pPr>
    </w:p>
    <w:p w:rsidR="00312259" w:rsidRPr="00312259" w:rsidRDefault="00AD25E1" w:rsidP="00651E97">
      <w:pPr>
        <w:pStyle w:val="ListParagraph"/>
        <w:numPr>
          <w:ilvl w:val="0"/>
          <w:numId w:val="4"/>
        </w:numPr>
        <w:rPr>
          <w:b/>
          <w:bCs/>
        </w:rPr>
      </w:pPr>
      <w:r>
        <w:rPr>
          <w:b/>
          <w:bCs/>
        </w:rPr>
        <w:t>Text</w:t>
      </w:r>
      <w:r w:rsidR="00156C2D">
        <w:rPr>
          <w:b/>
          <w:bCs/>
        </w:rPr>
        <w:t xml:space="preserve"> B</w:t>
      </w:r>
      <w:r>
        <w:rPr>
          <w:b/>
          <w:bCs/>
        </w:rPr>
        <w:t>ook</w:t>
      </w:r>
      <w:r w:rsidR="00ED447B">
        <w:rPr>
          <w:b/>
          <w:bCs/>
        </w:rPr>
        <w:t xml:space="preserve"> (TB)</w:t>
      </w:r>
      <w:r w:rsidR="00DA1841">
        <w:rPr>
          <w:b/>
          <w:bCs/>
        </w:rPr>
        <w:t>:</w:t>
      </w:r>
    </w:p>
    <w:p w:rsidR="00BE47F3" w:rsidRDefault="00BE47F3" w:rsidP="00651E97">
      <w:pPr>
        <w:numPr>
          <w:ilvl w:val="0"/>
          <w:numId w:val="5"/>
        </w:numPr>
      </w:pPr>
      <w:r>
        <w:t xml:space="preserve">A. </w:t>
      </w:r>
      <w:proofErr w:type="spellStart"/>
      <w:r>
        <w:t>Bejan</w:t>
      </w:r>
      <w:proofErr w:type="spellEnd"/>
      <w:r>
        <w:t xml:space="preserve">, </w:t>
      </w:r>
      <w:r w:rsidRPr="00BE47F3">
        <w:rPr>
          <w:i/>
        </w:rPr>
        <w:t>Convective Heat Transfer</w:t>
      </w:r>
      <w:r>
        <w:t>, Wiley India Pvt. Ltd, Third Edition, 2004.</w:t>
      </w:r>
    </w:p>
    <w:p w:rsidR="00A44798" w:rsidRDefault="00BE47F3" w:rsidP="00651E97">
      <w:pPr>
        <w:numPr>
          <w:ilvl w:val="0"/>
          <w:numId w:val="5"/>
        </w:numPr>
      </w:pPr>
      <w:r>
        <w:t xml:space="preserve">W. M. </w:t>
      </w:r>
      <w:proofErr w:type="spellStart"/>
      <w:r>
        <w:t>Kays</w:t>
      </w:r>
      <w:proofErr w:type="spellEnd"/>
      <w:r>
        <w:t xml:space="preserve">, M. E. Crawford, and B. </w:t>
      </w:r>
      <w:proofErr w:type="spellStart"/>
      <w:r>
        <w:t>Weigand</w:t>
      </w:r>
      <w:proofErr w:type="spellEnd"/>
      <w:r>
        <w:t xml:space="preserve">, </w:t>
      </w:r>
      <w:r w:rsidRPr="00BE47F3">
        <w:rPr>
          <w:i/>
        </w:rPr>
        <w:t>Convective Heat and Mass Transfer</w:t>
      </w:r>
      <w:r>
        <w:t>, McGraw-Hill Int. Edition, Fourth Edition, 2005.</w:t>
      </w:r>
    </w:p>
    <w:p w:rsidR="00830DB2" w:rsidRDefault="00830DB2" w:rsidP="00830DB2">
      <w:pPr>
        <w:spacing w:line="36" w:lineRule="auto"/>
        <w:ind w:left="360"/>
      </w:pPr>
    </w:p>
    <w:p w:rsidR="002E6C2D" w:rsidRDefault="002E6C2D" w:rsidP="00830DB2">
      <w:pPr>
        <w:spacing w:line="36" w:lineRule="auto"/>
        <w:ind w:left="360"/>
      </w:pPr>
    </w:p>
    <w:p w:rsidR="002E6C2D" w:rsidRDefault="002E6C2D" w:rsidP="00830DB2">
      <w:pPr>
        <w:spacing w:line="36" w:lineRule="auto"/>
        <w:ind w:left="360"/>
      </w:pPr>
    </w:p>
    <w:p w:rsidR="002E6C2D" w:rsidRPr="00CA693E" w:rsidRDefault="002E6C2D" w:rsidP="00830DB2">
      <w:pPr>
        <w:spacing w:line="36" w:lineRule="auto"/>
        <w:ind w:left="360"/>
      </w:pPr>
    </w:p>
    <w:p w:rsidR="00AD25E1" w:rsidRDefault="00AD25E1" w:rsidP="00651E97">
      <w:pPr>
        <w:pStyle w:val="ListParagraph"/>
        <w:numPr>
          <w:ilvl w:val="0"/>
          <w:numId w:val="4"/>
        </w:numPr>
        <w:rPr>
          <w:b/>
          <w:bCs/>
        </w:rPr>
      </w:pPr>
      <w:r>
        <w:rPr>
          <w:b/>
          <w:bCs/>
        </w:rPr>
        <w:t xml:space="preserve">Reference </w:t>
      </w:r>
      <w:r w:rsidR="00156C2D">
        <w:rPr>
          <w:b/>
          <w:bCs/>
        </w:rPr>
        <w:t>B</w:t>
      </w:r>
      <w:r>
        <w:rPr>
          <w:b/>
          <w:bCs/>
        </w:rPr>
        <w:t>ook</w:t>
      </w:r>
      <w:r w:rsidR="00ED447B">
        <w:rPr>
          <w:b/>
          <w:bCs/>
        </w:rPr>
        <w:t xml:space="preserve"> (RB)</w:t>
      </w:r>
      <w:r w:rsidR="00324E90">
        <w:rPr>
          <w:b/>
          <w:bCs/>
        </w:rPr>
        <w:t>:</w:t>
      </w:r>
    </w:p>
    <w:p w:rsidR="00BE47F3" w:rsidRDefault="00BE47F3" w:rsidP="00651E97">
      <w:pPr>
        <w:numPr>
          <w:ilvl w:val="0"/>
          <w:numId w:val="3"/>
        </w:numPr>
      </w:pPr>
      <w:r>
        <w:t xml:space="preserve">RB1: S. </w:t>
      </w:r>
      <w:proofErr w:type="spellStart"/>
      <w:r>
        <w:t>Kakac</w:t>
      </w:r>
      <w:proofErr w:type="spellEnd"/>
      <w:r>
        <w:t xml:space="preserve"> and Y. </w:t>
      </w:r>
      <w:proofErr w:type="spellStart"/>
      <w:r>
        <w:t>Yener</w:t>
      </w:r>
      <w:proofErr w:type="spellEnd"/>
      <w:r>
        <w:t xml:space="preserve">, </w:t>
      </w:r>
      <w:r w:rsidRPr="00BE47F3">
        <w:rPr>
          <w:i/>
        </w:rPr>
        <w:t>Convective Heat Transfer</w:t>
      </w:r>
      <w:r>
        <w:t>, CRC Press, Second Edition, 1995.</w:t>
      </w:r>
    </w:p>
    <w:p w:rsidR="00AC11B3" w:rsidRDefault="00BE47F3" w:rsidP="00AC11B3">
      <w:pPr>
        <w:numPr>
          <w:ilvl w:val="0"/>
          <w:numId w:val="3"/>
        </w:numPr>
      </w:pPr>
      <w:r>
        <w:t xml:space="preserve">RB2: J. G. Collier, and J. R. </w:t>
      </w:r>
      <w:proofErr w:type="spellStart"/>
      <w:r>
        <w:t>Thome</w:t>
      </w:r>
      <w:proofErr w:type="spellEnd"/>
      <w:r>
        <w:t xml:space="preserve">, </w:t>
      </w:r>
      <w:r w:rsidRPr="00BE47F3">
        <w:rPr>
          <w:i/>
        </w:rPr>
        <w:t>Convective Boiling and Condensation</w:t>
      </w:r>
      <w:r>
        <w:t>, Oxford University Press, Third Edition, 1996.</w:t>
      </w:r>
    </w:p>
    <w:p w:rsidR="00AC11B3" w:rsidRDefault="00AC11B3" w:rsidP="00AC11B3">
      <w:pPr>
        <w:spacing w:line="36" w:lineRule="auto"/>
        <w:ind w:left="360"/>
      </w:pPr>
    </w:p>
    <w:p w:rsidR="00AC11B3" w:rsidRPr="00CA693E" w:rsidRDefault="00AC11B3" w:rsidP="00AC11B3">
      <w:pPr>
        <w:pStyle w:val="BodyText"/>
        <w:spacing w:line="36" w:lineRule="auto"/>
      </w:pPr>
    </w:p>
    <w:p w:rsidR="00AD25E1" w:rsidRDefault="00AD25E1" w:rsidP="005D00FF">
      <w:pPr>
        <w:pStyle w:val="ListParagraph"/>
        <w:numPr>
          <w:ilvl w:val="0"/>
          <w:numId w:val="4"/>
        </w:numPr>
        <w:spacing w:after="120"/>
        <w:rPr>
          <w:b/>
          <w:bCs/>
        </w:rPr>
      </w:pPr>
      <w:r>
        <w:rPr>
          <w:b/>
          <w:bCs/>
        </w:rPr>
        <w:t>Course Plan:</w:t>
      </w:r>
    </w:p>
    <w:tbl>
      <w:tblPr>
        <w:tblW w:w="10569" w:type="dxa"/>
        <w:jc w:val="center"/>
        <w:tblBorders>
          <w:top w:val="single" w:sz="6" w:space="0" w:color="000000"/>
          <w:left w:val="single" w:sz="6" w:space="0" w:color="000000"/>
          <w:bottom w:val="single" w:sz="6" w:space="0" w:color="000000"/>
          <w:right w:val="single" w:sz="6" w:space="0" w:color="000000"/>
        </w:tblBorders>
        <w:tblLayout w:type="fixed"/>
        <w:tblLook w:val="0000"/>
      </w:tblPr>
      <w:tblGrid>
        <w:gridCol w:w="965"/>
        <w:gridCol w:w="2070"/>
        <w:gridCol w:w="5850"/>
        <w:gridCol w:w="1684"/>
      </w:tblGrid>
      <w:tr w:rsidR="00A161AF" w:rsidRPr="002E6C2D" w:rsidTr="002E6C2D">
        <w:trPr>
          <w:jc w:val="center"/>
        </w:trPr>
        <w:tc>
          <w:tcPr>
            <w:tcW w:w="96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2E6C2D" w:rsidRDefault="0097488C" w:rsidP="00965C4F">
            <w:pPr>
              <w:jc w:val="center"/>
              <w:rPr>
                <w:bCs/>
                <w:sz w:val="22"/>
                <w:szCs w:val="22"/>
              </w:rPr>
            </w:pPr>
            <w:r w:rsidRPr="002E6C2D">
              <w:rPr>
                <w:bCs/>
                <w:sz w:val="22"/>
                <w:szCs w:val="22"/>
              </w:rPr>
              <w:t>Lecture No.</w:t>
            </w:r>
          </w:p>
        </w:tc>
        <w:tc>
          <w:tcPr>
            <w:tcW w:w="207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2E6C2D" w:rsidRDefault="0097488C" w:rsidP="00965C4F">
            <w:pPr>
              <w:jc w:val="center"/>
              <w:rPr>
                <w:bCs/>
                <w:sz w:val="22"/>
                <w:szCs w:val="22"/>
              </w:rPr>
            </w:pPr>
            <w:r w:rsidRPr="002E6C2D">
              <w:rPr>
                <w:bCs/>
                <w:sz w:val="22"/>
                <w:szCs w:val="22"/>
              </w:rPr>
              <w:t>Learning objectives</w:t>
            </w:r>
          </w:p>
        </w:tc>
        <w:tc>
          <w:tcPr>
            <w:tcW w:w="58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2E6C2D" w:rsidRDefault="0097488C" w:rsidP="00965C4F">
            <w:pPr>
              <w:jc w:val="center"/>
              <w:rPr>
                <w:bCs/>
                <w:sz w:val="22"/>
                <w:szCs w:val="22"/>
              </w:rPr>
            </w:pPr>
            <w:r w:rsidRPr="002E6C2D">
              <w:rPr>
                <w:bCs/>
                <w:sz w:val="22"/>
                <w:szCs w:val="22"/>
              </w:rPr>
              <w:t>Topics to be covered</w:t>
            </w:r>
          </w:p>
        </w:tc>
        <w:tc>
          <w:tcPr>
            <w:tcW w:w="168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46E7D" w:rsidRPr="002E6C2D" w:rsidRDefault="00746E7D" w:rsidP="00965C4F">
            <w:pPr>
              <w:jc w:val="center"/>
              <w:rPr>
                <w:bCs/>
                <w:sz w:val="22"/>
                <w:szCs w:val="22"/>
              </w:rPr>
            </w:pPr>
            <w:r w:rsidRPr="002E6C2D">
              <w:rPr>
                <w:bCs/>
                <w:sz w:val="22"/>
                <w:szCs w:val="22"/>
              </w:rPr>
              <w:t>Chapter/</w:t>
            </w:r>
          </w:p>
          <w:p w:rsidR="0097488C" w:rsidRPr="002E6C2D" w:rsidRDefault="00746E7D" w:rsidP="00965C4F">
            <w:pPr>
              <w:jc w:val="center"/>
              <w:rPr>
                <w:bCs/>
                <w:sz w:val="22"/>
                <w:szCs w:val="22"/>
              </w:rPr>
            </w:pPr>
            <w:r w:rsidRPr="002E6C2D">
              <w:rPr>
                <w:bCs/>
                <w:sz w:val="22"/>
                <w:szCs w:val="22"/>
              </w:rPr>
              <w:t>Section</w:t>
            </w:r>
          </w:p>
        </w:tc>
      </w:tr>
      <w:tr w:rsidR="00A161AF" w:rsidRPr="002E6C2D" w:rsidTr="002E6C2D">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97488C" w:rsidRPr="002E6C2D" w:rsidRDefault="00500020" w:rsidP="00965C4F">
            <w:pPr>
              <w:jc w:val="center"/>
            </w:pPr>
            <w:r w:rsidRPr="002E6C2D">
              <w:t>1-2</w:t>
            </w:r>
          </w:p>
        </w:tc>
        <w:tc>
          <w:tcPr>
            <w:tcW w:w="2070" w:type="dxa"/>
            <w:tcBorders>
              <w:top w:val="single" w:sz="6" w:space="0" w:color="000000"/>
              <w:left w:val="single" w:sz="6" w:space="0" w:color="000000"/>
              <w:bottom w:val="single" w:sz="6" w:space="0" w:color="000000"/>
              <w:right w:val="single" w:sz="6" w:space="0" w:color="000000"/>
            </w:tcBorders>
            <w:vAlign w:val="center"/>
          </w:tcPr>
          <w:p w:rsidR="0097488C" w:rsidRPr="002E6C2D" w:rsidRDefault="00500020" w:rsidP="00965C4F">
            <w:r w:rsidRPr="002E6C2D">
              <w:t>Fundamental Principles</w:t>
            </w:r>
          </w:p>
        </w:tc>
        <w:tc>
          <w:tcPr>
            <w:tcW w:w="5850" w:type="dxa"/>
            <w:tcBorders>
              <w:top w:val="single" w:sz="6" w:space="0" w:color="000000"/>
              <w:left w:val="single" w:sz="6" w:space="0" w:color="000000"/>
              <w:bottom w:val="single" w:sz="6" w:space="0" w:color="000000"/>
              <w:right w:val="single" w:sz="6" w:space="0" w:color="000000"/>
            </w:tcBorders>
            <w:vAlign w:val="center"/>
          </w:tcPr>
          <w:p w:rsidR="0097488C" w:rsidRPr="002E6C2D" w:rsidRDefault="00651E97" w:rsidP="002E6C2D">
            <w:r w:rsidRPr="002E6C2D">
              <w:t xml:space="preserve">Conservation equations, Rules of scale analysis, and </w:t>
            </w:r>
            <w:proofErr w:type="spellStart"/>
            <w:r w:rsidRPr="002E6C2D">
              <w:t>Heatlines</w:t>
            </w:r>
            <w:proofErr w:type="spellEnd"/>
            <w:r w:rsidRPr="002E6C2D">
              <w:t xml:space="preserve"> for visualization.</w:t>
            </w:r>
          </w:p>
        </w:tc>
        <w:tc>
          <w:tcPr>
            <w:tcW w:w="1684" w:type="dxa"/>
            <w:tcBorders>
              <w:top w:val="single" w:sz="6" w:space="0" w:color="000000"/>
              <w:left w:val="single" w:sz="6" w:space="0" w:color="000000"/>
              <w:bottom w:val="single" w:sz="6" w:space="0" w:color="000000"/>
              <w:right w:val="single" w:sz="6" w:space="0" w:color="000000"/>
            </w:tcBorders>
            <w:vAlign w:val="center"/>
          </w:tcPr>
          <w:p w:rsidR="00651E97" w:rsidRPr="002E6C2D" w:rsidRDefault="00651E97" w:rsidP="00965C4F">
            <w:pPr>
              <w:jc w:val="center"/>
            </w:pPr>
            <w:r w:rsidRPr="002E6C2D">
              <w:t>TB</w:t>
            </w:r>
            <w:r w:rsidR="002E6C2D">
              <w:t>1</w:t>
            </w:r>
            <w:r w:rsidRPr="002E6C2D">
              <w:t>:</w:t>
            </w:r>
          </w:p>
          <w:p w:rsidR="0097488C" w:rsidRPr="002E6C2D" w:rsidRDefault="00651E97" w:rsidP="00965C4F">
            <w:pPr>
              <w:jc w:val="center"/>
            </w:pPr>
            <w:r w:rsidRPr="002E6C2D">
              <w:t>1.1 – 1.6</w:t>
            </w:r>
          </w:p>
        </w:tc>
      </w:tr>
      <w:tr w:rsidR="00A161AF" w:rsidRPr="002E6C2D" w:rsidTr="002E6C2D">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651E97" w:rsidP="00965C4F">
            <w:pPr>
              <w:jc w:val="center"/>
            </w:pPr>
            <w:r w:rsidRPr="002E6C2D">
              <w:lastRenderedPageBreak/>
              <w:t>3-8</w:t>
            </w:r>
          </w:p>
        </w:tc>
        <w:tc>
          <w:tcPr>
            <w:tcW w:w="2070"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651E97" w:rsidP="00965C4F">
            <w:r w:rsidRPr="002E6C2D">
              <w:t>Laminar Boundary Layer Flow</w:t>
            </w:r>
            <w:r w:rsidR="00D71CF4">
              <w:t>s</w:t>
            </w:r>
          </w:p>
        </w:tc>
        <w:tc>
          <w:tcPr>
            <w:tcW w:w="5850"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651E97" w:rsidP="002E6C2D">
            <w:r w:rsidRPr="002E6C2D">
              <w:t>Concept of boundary layer, Velocity and thermal boundary layers, Integral solutions, Similarity solutions, Other wall heating conditions, and Flow past a wedge and stagnation flow.</w:t>
            </w:r>
          </w:p>
        </w:tc>
        <w:tc>
          <w:tcPr>
            <w:tcW w:w="1684" w:type="dxa"/>
            <w:tcBorders>
              <w:top w:val="single" w:sz="6" w:space="0" w:color="000000"/>
              <w:left w:val="single" w:sz="6" w:space="0" w:color="000000"/>
              <w:bottom w:val="single" w:sz="6" w:space="0" w:color="000000"/>
              <w:right w:val="single" w:sz="6" w:space="0" w:color="000000"/>
            </w:tcBorders>
            <w:vAlign w:val="center"/>
          </w:tcPr>
          <w:p w:rsidR="00830DB2" w:rsidRPr="002E6C2D" w:rsidRDefault="00830DB2" w:rsidP="00965C4F">
            <w:pPr>
              <w:jc w:val="center"/>
            </w:pPr>
            <w:r w:rsidRPr="002E6C2D">
              <w:t>TB:1</w:t>
            </w:r>
          </w:p>
          <w:p w:rsidR="00156C2D" w:rsidRPr="002E6C2D" w:rsidRDefault="00830DB2" w:rsidP="00965C4F">
            <w:pPr>
              <w:jc w:val="center"/>
            </w:pPr>
            <w:r w:rsidRPr="002E6C2D">
              <w:t>2.1 – 2.7</w:t>
            </w:r>
          </w:p>
        </w:tc>
      </w:tr>
      <w:tr w:rsidR="00A161AF" w:rsidRPr="002E6C2D" w:rsidTr="002E6C2D">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830DB2" w:rsidP="00965C4F">
            <w:pPr>
              <w:jc w:val="center"/>
            </w:pPr>
            <w:r w:rsidRPr="002E6C2D">
              <w:t>9-14</w:t>
            </w:r>
          </w:p>
        </w:tc>
        <w:tc>
          <w:tcPr>
            <w:tcW w:w="2070"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830DB2" w:rsidP="00965C4F">
            <w:r w:rsidRPr="002E6C2D">
              <w:t>Laminar Duct Flow</w:t>
            </w:r>
          </w:p>
        </w:tc>
        <w:tc>
          <w:tcPr>
            <w:tcW w:w="5850"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830DB2" w:rsidP="00D71CF4">
            <w:r w:rsidRPr="002E6C2D">
              <w:t xml:space="preserve">Hydrodynamic entrance length, Fully developed flow, Pressure drop, Heat transfer </w:t>
            </w:r>
            <w:r w:rsidR="00D71CF4">
              <w:t>in developing and fully developed duct flows</w:t>
            </w:r>
            <w:r w:rsidRPr="002E6C2D">
              <w:t>.</w:t>
            </w:r>
          </w:p>
        </w:tc>
        <w:tc>
          <w:tcPr>
            <w:tcW w:w="1684" w:type="dxa"/>
            <w:tcBorders>
              <w:top w:val="single" w:sz="6" w:space="0" w:color="000000"/>
              <w:left w:val="single" w:sz="6" w:space="0" w:color="000000"/>
              <w:bottom w:val="single" w:sz="6" w:space="0" w:color="000000"/>
              <w:right w:val="single" w:sz="6" w:space="0" w:color="000000"/>
            </w:tcBorders>
            <w:vAlign w:val="center"/>
          </w:tcPr>
          <w:p w:rsidR="00830DB2" w:rsidRPr="002E6C2D" w:rsidRDefault="00830DB2" w:rsidP="00965C4F">
            <w:pPr>
              <w:jc w:val="center"/>
            </w:pPr>
            <w:r w:rsidRPr="002E6C2D">
              <w:t>TB:1</w:t>
            </w:r>
          </w:p>
          <w:p w:rsidR="00156C2D" w:rsidRPr="002E6C2D" w:rsidRDefault="00830DB2" w:rsidP="00965C4F">
            <w:pPr>
              <w:jc w:val="center"/>
            </w:pPr>
            <w:r w:rsidRPr="002E6C2D">
              <w:t>3.1 – 3.5</w:t>
            </w:r>
          </w:p>
        </w:tc>
      </w:tr>
      <w:tr w:rsidR="00A161AF" w:rsidRPr="002E6C2D" w:rsidTr="002E6C2D">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830DB2" w:rsidP="00965C4F">
            <w:pPr>
              <w:jc w:val="center"/>
            </w:pPr>
            <w:r w:rsidRPr="002E6C2D">
              <w:t>15-19</w:t>
            </w:r>
          </w:p>
        </w:tc>
        <w:tc>
          <w:tcPr>
            <w:tcW w:w="2070"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830DB2" w:rsidP="00965C4F">
            <w:r w:rsidRPr="002E6C2D">
              <w:t>External Natural Convection</w:t>
            </w:r>
          </w:p>
        </w:tc>
        <w:tc>
          <w:tcPr>
            <w:tcW w:w="5850"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203F68" w:rsidP="00203F68">
            <w:r>
              <w:t xml:space="preserve">Introduction to </w:t>
            </w:r>
            <w:r w:rsidR="00830DB2" w:rsidRPr="002E6C2D">
              <w:t>Natural convection</w:t>
            </w:r>
            <w:r>
              <w:t xml:space="preserve">, </w:t>
            </w:r>
            <w:r w:rsidR="00830DB2" w:rsidRPr="002E6C2D">
              <w:t xml:space="preserve">Laminar boundary layer equations, Scale analysis, Integral </w:t>
            </w:r>
            <w:r>
              <w:t xml:space="preserve">and </w:t>
            </w:r>
            <w:r w:rsidR="00830DB2" w:rsidRPr="002E6C2D">
              <w:t xml:space="preserve">Similarity solution, Uniform heat flux, Mixed convection, and Heat transfer </w:t>
            </w:r>
            <w:r>
              <w:t xml:space="preserve">with turbulence </w:t>
            </w:r>
            <w:r w:rsidR="00830DB2" w:rsidRPr="002E6C2D">
              <w:t>effect</w:t>
            </w:r>
            <w:r>
              <w:t>s</w:t>
            </w:r>
            <w:r w:rsidR="00830DB2" w:rsidRPr="002E6C2D">
              <w:t>.</w:t>
            </w:r>
          </w:p>
        </w:tc>
        <w:tc>
          <w:tcPr>
            <w:tcW w:w="1684" w:type="dxa"/>
            <w:tcBorders>
              <w:top w:val="single" w:sz="6" w:space="0" w:color="000000"/>
              <w:left w:val="single" w:sz="6" w:space="0" w:color="000000"/>
              <w:bottom w:val="single" w:sz="6" w:space="0" w:color="000000"/>
              <w:right w:val="single" w:sz="6" w:space="0" w:color="000000"/>
            </w:tcBorders>
            <w:vAlign w:val="center"/>
          </w:tcPr>
          <w:p w:rsidR="00830DB2" w:rsidRPr="002E6C2D" w:rsidRDefault="00830DB2" w:rsidP="00965C4F">
            <w:pPr>
              <w:jc w:val="center"/>
            </w:pPr>
            <w:r w:rsidRPr="002E6C2D">
              <w:t>TB:1</w:t>
            </w:r>
          </w:p>
          <w:p w:rsidR="00830DB2" w:rsidRPr="002E6C2D" w:rsidRDefault="00830DB2" w:rsidP="00965C4F">
            <w:pPr>
              <w:jc w:val="center"/>
            </w:pPr>
            <w:r w:rsidRPr="002E6C2D">
              <w:t>4.1 – 4.6;</w:t>
            </w:r>
          </w:p>
          <w:p w:rsidR="00156C2D" w:rsidRPr="002E6C2D" w:rsidRDefault="00830DB2" w:rsidP="00965C4F">
            <w:pPr>
              <w:jc w:val="center"/>
            </w:pPr>
            <w:r w:rsidRPr="002E6C2D">
              <w:t>&amp; 4.10 – 4.11</w:t>
            </w:r>
          </w:p>
        </w:tc>
      </w:tr>
      <w:tr w:rsidR="00A161AF" w:rsidRPr="002E6C2D" w:rsidTr="002E6C2D">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830DB2" w:rsidP="00965C4F">
            <w:pPr>
              <w:jc w:val="center"/>
            </w:pPr>
            <w:r w:rsidRPr="002E6C2D">
              <w:t>20-23</w:t>
            </w:r>
          </w:p>
        </w:tc>
        <w:tc>
          <w:tcPr>
            <w:tcW w:w="2070"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830DB2" w:rsidP="00965C4F">
            <w:r w:rsidRPr="002E6C2D">
              <w:t>Internal Natural Convection</w:t>
            </w:r>
          </w:p>
        </w:tc>
        <w:tc>
          <w:tcPr>
            <w:tcW w:w="5850"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830DB2" w:rsidP="002E6C2D">
            <w:r w:rsidRPr="002E6C2D">
              <w:t>Transient heating from the side and Enclosures heated from below.</w:t>
            </w:r>
          </w:p>
        </w:tc>
        <w:tc>
          <w:tcPr>
            <w:tcW w:w="1684" w:type="dxa"/>
            <w:tcBorders>
              <w:top w:val="single" w:sz="6" w:space="0" w:color="000000"/>
              <w:left w:val="single" w:sz="6" w:space="0" w:color="000000"/>
              <w:bottom w:val="single" w:sz="6" w:space="0" w:color="000000"/>
              <w:right w:val="single" w:sz="6" w:space="0" w:color="000000"/>
            </w:tcBorders>
            <w:vAlign w:val="center"/>
          </w:tcPr>
          <w:p w:rsidR="00830DB2" w:rsidRPr="002E6C2D" w:rsidRDefault="00830DB2" w:rsidP="00965C4F">
            <w:pPr>
              <w:jc w:val="center"/>
            </w:pPr>
            <w:r w:rsidRPr="002E6C2D">
              <w:t>TB:1</w:t>
            </w:r>
          </w:p>
          <w:p w:rsidR="00830DB2" w:rsidRPr="002E6C2D" w:rsidRDefault="00830DB2" w:rsidP="00965C4F">
            <w:pPr>
              <w:jc w:val="center"/>
            </w:pPr>
            <w:r w:rsidRPr="002E6C2D">
              <w:t xml:space="preserve">5.1; </w:t>
            </w:r>
          </w:p>
          <w:p w:rsidR="00156C2D" w:rsidRPr="002E6C2D" w:rsidRDefault="00830DB2" w:rsidP="00965C4F">
            <w:pPr>
              <w:jc w:val="center"/>
            </w:pPr>
            <w:r w:rsidRPr="002E6C2D">
              <w:t>&amp; 5.4 – 5.5</w:t>
            </w:r>
          </w:p>
        </w:tc>
      </w:tr>
      <w:tr w:rsidR="00A161AF" w:rsidRPr="002E6C2D" w:rsidTr="002E6C2D">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F7569B" w:rsidP="00965C4F">
            <w:pPr>
              <w:jc w:val="center"/>
            </w:pPr>
            <w:r w:rsidRPr="002E6C2D">
              <w:t>24-27</w:t>
            </w:r>
          </w:p>
        </w:tc>
        <w:tc>
          <w:tcPr>
            <w:tcW w:w="2070"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F7569B" w:rsidP="00965C4F">
            <w:r w:rsidRPr="002E6C2D">
              <w:t>Turbulent Boundary Layer Flow</w:t>
            </w:r>
          </w:p>
        </w:tc>
        <w:tc>
          <w:tcPr>
            <w:tcW w:w="5850" w:type="dxa"/>
            <w:tcBorders>
              <w:top w:val="single" w:sz="6" w:space="0" w:color="000000"/>
              <w:left w:val="single" w:sz="6" w:space="0" w:color="000000"/>
              <w:bottom w:val="single" w:sz="6" w:space="0" w:color="000000"/>
              <w:right w:val="single" w:sz="6" w:space="0" w:color="000000"/>
            </w:tcBorders>
            <w:vAlign w:val="center"/>
          </w:tcPr>
          <w:p w:rsidR="00156C2D" w:rsidRPr="002E6C2D" w:rsidRDefault="00F7569B" w:rsidP="00203F68">
            <w:r w:rsidRPr="002E6C2D">
              <w:t xml:space="preserve">Large-scale structure, Time-averaged equations, Mixing length model, Wall friction </w:t>
            </w:r>
            <w:r w:rsidR="00203F68">
              <w:t xml:space="preserve">and </w:t>
            </w:r>
            <w:r w:rsidRPr="002E6C2D">
              <w:t>Heat transfer in boundary layer flow, and Other external flows.</w:t>
            </w:r>
          </w:p>
        </w:tc>
        <w:tc>
          <w:tcPr>
            <w:tcW w:w="1684" w:type="dxa"/>
            <w:tcBorders>
              <w:top w:val="single" w:sz="6" w:space="0" w:color="000000"/>
              <w:left w:val="single" w:sz="6" w:space="0" w:color="000000"/>
              <w:bottom w:val="single" w:sz="6" w:space="0" w:color="000000"/>
              <w:right w:val="single" w:sz="6" w:space="0" w:color="000000"/>
            </w:tcBorders>
            <w:vAlign w:val="center"/>
          </w:tcPr>
          <w:p w:rsidR="00F7569B" w:rsidRPr="002E6C2D" w:rsidRDefault="00F7569B" w:rsidP="00965C4F">
            <w:pPr>
              <w:jc w:val="center"/>
            </w:pPr>
            <w:r w:rsidRPr="002E6C2D">
              <w:t>TB:1</w:t>
            </w:r>
          </w:p>
          <w:p w:rsidR="00F7569B" w:rsidRPr="002E6C2D" w:rsidRDefault="00F7569B" w:rsidP="00965C4F">
            <w:pPr>
              <w:jc w:val="center"/>
            </w:pPr>
            <w:r w:rsidRPr="002E6C2D">
              <w:t xml:space="preserve">7.1 – 7.7; </w:t>
            </w:r>
          </w:p>
          <w:p w:rsidR="00156C2D" w:rsidRPr="002E6C2D" w:rsidRDefault="00F7569B" w:rsidP="00965C4F">
            <w:pPr>
              <w:jc w:val="center"/>
            </w:pPr>
            <w:r w:rsidRPr="002E6C2D">
              <w:t>&amp; 7.9</w:t>
            </w:r>
          </w:p>
        </w:tc>
      </w:tr>
      <w:tr w:rsidR="00F7569B" w:rsidRPr="002E6C2D" w:rsidTr="002E6C2D">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F7569B" w:rsidRPr="002E6C2D" w:rsidRDefault="00F7569B" w:rsidP="00965C4F">
            <w:pPr>
              <w:jc w:val="center"/>
            </w:pPr>
            <w:r w:rsidRPr="002E6C2D">
              <w:t>28-31</w:t>
            </w:r>
          </w:p>
        </w:tc>
        <w:tc>
          <w:tcPr>
            <w:tcW w:w="2070" w:type="dxa"/>
            <w:tcBorders>
              <w:top w:val="single" w:sz="6" w:space="0" w:color="000000"/>
              <w:left w:val="single" w:sz="6" w:space="0" w:color="000000"/>
              <w:bottom w:val="single" w:sz="6" w:space="0" w:color="000000"/>
              <w:right w:val="single" w:sz="6" w:space="0" w:color="000000"/>
            </w:tcBorders>
            <w:vAlign w:val="center"/>
          </w:tcPr>
          <w:p w:rsidR="00F7569B" w:rsidRPr="002E6C2D" w:rsidRDefault="00F7569B" w:rsidP="00965C4F">
            <w:r w:rsidRPr="002E6C2D">
              <w:t>Turbulent Duct Flow</w:t>
            </w:r>
          </w:p>
        </w:tc>
        <w:tc>
          <w:tcPr>
            <w:tcW w:w="5850" w:type="dxa"/>
            <w:tcBorders>
              <w:top w:val="single" w:sz="6" w:space="0" w:color="000000"/>
              <w:left w:val="single" w:sz="6" w:space="0" w:color="000000"/>
              <w:bottom w:val="single" w:sz="6" w:space="0" w:color="000000"/>
              <w:right w:val="single" w:sz="6" w:space="0" w:color="000000"/>
            </w:tcBorders>
            <w:vAlign w:val="center"/>
          </w:tcPr>
          <w:p w:rsidR="00F7569B" w:rsidRPr="002E6C2D" w:rsidRDefault="00F7569B" w:rsidP="002E6C2D">
            <w:r w:rsidRPr="002E6C2D">
              <w:t>Velocity distribution, Friction factor and pressure drop, Heat transfer coefficient, Total heat transfer rate, and More refined turbulence models.</w:t>
            </w:r>
          </w:p>
        </w:tc>
        <w:tc>
          <w:tcPr>
            <w:tcW w:w="1684" w:type="dxa"/>
            <w:tcBorders>
              <w:top w:val="single" w:sz="6" w:space="0" w:color="000000"/>
              <w:left w:val="single" w:sz="6" w:space="0" w:color="000000"/>
              <w:bottom w:val="single" w:sz="6" w:space="0" w:color="000000"/>
              <w:right w:val="single" w:sz="6" w:space="0" w:color="000000"/>
            </w:tcBorders>
            <w:vAlign w:val="center"/>
          </w:tcPr>
          <w:p w:rsidR="00F7569B" w:rsidRPr="002E6C2D" w:rsidRDefault="00F7569B" w:rsidP="00965C4F">
            <w:pPr>
              <w:jc w:val="center"/>
            </w:pPr>
            <w:r w:rsidRPr="002E6C2D">
              <w:t>TB:1</w:t>
            </w:r>
          </w:p>
          <w:p w:rsidR="00F7569B" w:rsidRPr="002E6C2D" w:rsidRDefault="00F7569B" w:rsidP="00965C4F">
            <w:pPr>
              <w:jc w:val="center"/>
            </w:pPr>
            <w:r w:rsidRPr="002E6C2D">
              <w:t>8.1 – 8.5</w:t>
            </w:r>
          </w:p>
        </w:tc>
      </w:tr>
      <w:tr w:rsidR="0043703D" w:rsidRPr="002E6C2D" w:rsidTr="002E6C2D">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43703D" w:rsidRPr="002E6C2D" w:rsidRDefault="0043703D" w:rsidP="00965C4F">
            <w:pPr>
              <w:jc w:val="center"/>
            </w:pPr>
            <w:r w:rsidRPr="002E6C2D">
              <w:t>32-36</w:t>
            </w:r>
          </w:p>
        </w:tc>
        <w:tc>
          <w:tcPr>
            <w:tcW w:w="2070" w:type="dxa"/>
            <w:tcBorders>
              <w:top w:val="single" w:sz="6" w:space="0" w:color="000000"/>
              <w:left w:val="single" w:sz="6" w:space="0" w:color="000000"/>
              <w:bottom w:val="single" w:sz="6" w:space="0" w:color="000000"/>
              <w:right w:val="single" w:sz="6" w:space="0" w:color="000000"/>
            </w:tcBorders>
            <w:vAlign w:val="center"/>
          </w:tcPr>
          <w:p w:rsidR="0043703D" w:rsidRPr="002E6C2D" w:rsidRDefault="0043703D" w:rsidP="00965C4F">
            <w:r w:rsidRPr="002E6C2D">
              <w:t>Convection with Change of Phase</w:t>
            </w:r>
          </w:p>
        </w:tc>
        <w:tc>
          <w:tcPr>
            <w:tcW w:w="5850" w:type="dxa"/>
            <w:tcBorders>
              <w:top w:val="single" w:sz="6" w:space="0" w:color="000000"/>
              <w:left w:val="single" w:sz="6" w:space="0" w:color="000000"/>
              <w:bottom w:val="single" w:sz="6" w:space="0" w:color="000000"/>
              <w:right w:val="single" w:sz="6" w:space="0" w:color="000000"/>
            </w:tcBorders>
            <w:vAlign w:val="center"/>
          </w:tcPr>
          <w:p w:rsidR="0043703D" w:rsidRPr="002E6C2D" w:rsidRDefault="0043703D" w:rsidP="002E6C2D">
            <w:r w:rsidRPr="002E6C2D">
              <w:t>Condensation and Boiling</w:t>
            </w:r>
          </w:p>
        </w:tc>
        <w:tc>
          <w:tcPr>
            <w:tcW w:w="1684" w:type="dxa"/>
            <w:tcBorders>
              <w:top w:val="single" w:sz="6" w:space="0" w:color="000000"/>
              <w:left w:val="single" w:sz="6" w:space="0" w:color="000000"/>
              <w:bottom w:val="single" w:sz="6" w:space="0" w:color="000000"/>
              <w:right w:val="single" w:sz="6" w:space="0" w:color="000000"/>
            </w:tcBorders>
            <w:vAlign w:val="center"/>
          </w:tcPr>
          <w:p w:rsidR="0043703D" w:rsidRPr="002E6C2D" w:rsidRDefault="0043703D" w:rsidP="00965C4F">
            <w:pPr>
              <w:jc w:val="center"/>
            </w:pPr>
            <w:r w:rsidRPr="002E6C2D">
              <w:t>TB:1</w:t>
            </w:r>
          </w:p>
          <w:p w:rsidR="0043703D" w:rsidRPr="002E6C2D" w:rsidRDefault="0043703D" w:rsidP="00965C4F">
            <w:pPr>
              <w:jc w:val="center"/>
            </w:pPr>
            <w:r w:rsidRPr="002E6C2D">
              <w:t>10.1 – 10.2</w:t>
            </w:r>
          </w:p>
        </w:tc>
      </w:tr>
      <w:tr w:rsidR="00EB0D71" w:rsidRPr="002E6C2D" w:rsidTr="002E6C2D">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EB0D71" w:rsidRPr="002E6C2D" w:rsidRDefault="00EB0D71" w:rsidP="00965C4F">
            <w:pPr>
              <w:jc w:val="center"/>
              <w:rPr>
                <w:rFonts w:ascii="Calibri" w:hAnsi="Calibri"/>
                <w:sz w:val="22"/>
                <w:szCs w:val="22"/>
              </w:rPr>
            </w:pPr>
            <w:r w:rsidRPr="002E6C2D">
              <w:rPr>
                <w:rFonts w:ascii="Calibri" w:hAnsi="Calibri"/>
                <w:sz w:val="22"/>
                <w:szCs w:val="22"/>
              </w:rPr>
              <w:t>37-40</w:t>
            </w:r>
          </w:p>
        </w:tc>
        <w:tc>
          <w:tcPr>
            <w:tcW w:w="2070" w:type="dxa"/>
            <w:tcBorders>
              <w:top w:val="single" w:sz="6" w:space="0" w:color="000000"/>
              <w:left w:val="single" w:sz="6" w:space="0" w:color="000000"/>
              <w:bottom w:val="single" w:sz="6" w:space="0" w:color="000000"/>
              <w:right w:val="single" w:sz="6" w:space="0" w:color="000000"/>
            </w:tcBorders>
            <w:vAlign w:val="center"/>
          </w:tcPr>
          <w:p w:rsidR="00EB0D71" w:rsidRPr="002E6C2D" w:rsidRDefault="00EB0D71" w:rsidP="00965C4F">
            <w:pPr>
              <w:rPr>
                <w:rFonts w:ascii="Calibri" w:hAnsi="Calibri"/>
                <w:sz w:val="22"/>
                <w:szCs w:val="22"/>
              </w:rPr>
            </w:pPr>
            <w:r w:rsidRPr="002E6C2D">
              <w:t>Mass Transfer</w:t>
            </w:r>
          </w:p>
        </w:tc>
        <w:tc>
          <w:tcPr>
            <w:tcW w:w="5850" w:type="dxa"/>
            <w:tcBorders>
              <w:top w:val="single" w:sz="6" w:space="0" w:color="000000"/>
              <w:left w:val="single" w:sz="6" w:space="0" w:color="000000"/>
              <w:bottom w:val="single" w:sz="6" w:space="0" w:color="000000"/>
              <w:right w:val="single" w:sz="6" w:space="0" w:color="000000"/>
            </w:tcBorders>
          </w:tcPr>
          <w:p w:rsidR="00EB0D71" w:rsidRPr="002E6C2D" w:rsidRDefault="00EB0D71" w:rsidP="00203F68">
            <w:r w:rsidRPr="002E6C2D">
              <w:t xml:space="preserve">Properties of mixtures, Mass concentration, Mass diffusivities, </w:t>
            </w:r>
            <w:r w:rsidR="00203F68">
              <w:t xml:space="preserve">and </w:t>
            </w:r>
            <w:r w:rsidRPr="002E6C2D">
              <w:t>Laminar forced convection.</w:t>
            </w:r>
          </w:p>
        </w:tc>
        <w:tc>
          <w:tcPr>
            <w:tcW w:w="1684" w:type="dxa"/>
            <w:tcBorders>
              <w:top w:val="single" w:sz="6" w:space="0" w:color="000000"/>
              <w:left w:val="single" w:sz="6" w:space="0" w:color="000000"/>
              <w:bottom w:val="single" w:sz="6" w:space="0" w:color="000000"/>
              <w:right w:val="single" w:sz="6" w:space="0" w:color="000000"/>
            </w:tcBorders>
            <w:vAlign w:val="center"/>
          </w:tcPr>
          <w:p w:rsidR="00EB0D71" w:rsidRPr="002E6C2D" w:rsidRDefault="00EB0D71" w:rsidP="00965C4F">
            <w:pPr>
              <w:jc w:val="center"/>
            </w:pPr>
            <w:r w:rsidRPr="002E6C2D">
              <w:t>TB:1</w:t>
            </w:r>
          </w:p>
          <w:p w:rsidR="00EB0D71" w:rsidRPr="002E6C2D" w:rsidRDefault="00EB0D71" w:rsidP="00965C4F">
            <w:pPr>
              <w:jc w:val="center"/>
            </w:pPr>
            <w:r w:rsidRPr="002E6C2D">
              <w:t>11.1 – 11.5</w:t>
            </w:r>
          </w:p>
        </w:tc>
      </w:tr>
    </w:tbl>
    <w:p w:rsidR="00C35130" w:rsidRPr="002E6C2D" w:rsidRDefault="00C35130" w:rsidP="00357D29">
      <w:pPr>
        <w:pStyle w:val="BodyText"/>
        <w:spacing w:line="180" w:lineRule="auto"/>
      </w:pPr>
    </w:p>
    <w:p w:rsidR="00AD25E1" w:rsidRPr="002E6C2D" w:rsidRDefault="00AD25E1" w:rsidP="00701840">
      <w:pPr>
        <w:pStyle w:val="ListParagraph"/>
        <w:numPr>
          <w:ilvl w:val="0"/>
          <w:numId w:val="4"/>
        </w:numPr>
        <w:spacing w:after="120"/>
        <w:rPr>
          <w:b/>
          <w:bCs/>
        </w:rPr>
      </w:pPr>
      <w:r w:rsidRPr="002E6C2D">
        <w:rPr>
          <w:b/>
          <w:bCs/>
        </w:rPr>
        <w:t>Evaluation Scheme:</w:t>
      </w:r>
    </w:p>
    <w:tbl>
      <w:tblPr>
        <w:tblW w:w="10554"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2287"/>
        <w:gridCol w:w="1640"/>
        <w:gridCol w:w="2070"/>
        <w:gridCol w:w="2700"/>
        <w:gridCol w:w="1857"/>
      </w:tblGrid>
      <w:tr w:rsidR="00887FFA" w:rsidRPr="002E6C2D" w:rsidTr="00E067F2">
        <w:trPr>
          <w:trHeight w:val="422"/>
          <w:jc w:val="center"/>
        </w:trPr>
        <w:tc>
          <w:tcPr>
            <w:tcW w:w="228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E6C2D" w:rsidRDefault="00DE3D84">
            <w:pPr>
              <w:jc w:val="center"/>
              <w:rPr>
                <w:bCs/>
              </w:rPr>
            </w:pPr>
            <w:r w:rsidRPr="002E6C2D">
              <w:rPr>
                <w:bCs/>
              </w:rPr>
              <w:t>Component</w:t>
            </w:r>
          </w:p>
        </w:tc>
        <w:tc>
          <w:tcPr>
            <w:tcW w:w="16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E6C2D" w:rsidRDefault="00DE3D84">
            <w:pPr>
              <w:jc w:val="center"/>
              <w:rPr>
                <w:bCs/>
              </w:rPr>
            </w:pPr>
            <w:r w:rsidRPr="002E6C2D">
              <w:rPr>
                <w:bCs/>
              </w:rPr>
              <w:t>Duration</w:t>
            </w:r>
          </w:p>
        </w:tc>
        <w:tc>
          <w:tcPr>
            <w:tcW w:w="207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E6C2D" w:rsidRDefault="00DE3D84">
            <w:pPr>
              <w:jc w:val="center"/>
              <w:rPr>
                <w:bCs/>
              </w:rPr>
            </w:pPr>
            <w:proofErr w:type="spellStart"/>
            <w:r w:rsidRPr="002E6C2D">
              <w:rPr>
                <w:bCs/>
              </w:rPr>
              <w:t>Weightage</w:t>
            </w:r>
            <w:proofErr w:type="spellEnd"/>
            <w:r w:rsidR="008005D9" w:rsidRPr="002E6C2D">
              <w:rPr>
                <w:bCs/>
              </w:rPr>
              <w:t xml:space="preserve"> (%)</w:t>
            </w:r>
          </w:p>
        </w:tc>
        <w:tc>
          <w:tcPr>
            <w:tcW w:w="270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E6C2D" w:rsidRDefault="00DE3D84">
            <w:pPr>
              <w:jc w:val="center"/>
              <w:rPr>
                <w:bCs/>
              </w:rPr>
            </w:pPr>
            <w:r w:rsidRPr="002E6C2D">
              <w:rPr>
                <w:bCs/>
              </w:rPr>
              <w:t>Date &amp; Time</w:t>
            </w:r>
          </w:p>
        </w:tc>
        <w:tc>
          <w:tcPr>
            <w:tcW w:w="185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E6C2D" w:rsidRDefault="00DE3D84" w:rsidP="00DE3D84">
            <w:pPr>
              <w:jc w:val="center"/>
              <w:rPr>
                <w:bCs/>
              </w:rPr>
            </w:pPr>
            <w:r w:rsidRPr="002E6C2D">
              <w:rPr>
                <w:bCs/>
              </w:rPr>
              <w:t>Nature of Component</w:t>
            </w:r>
          </w:p>
        </w:tc>
      </w:tr>
      <w:tr w:rsidR="00A46B70" w:rsidRPr="002E6C2D" w:rsidTr="00E067F2">
        <w:trPr>
          <w:trHeight w:val="332"/>
          <w:jc w:val="center"/>
        </w:trPr>
        <w:tc>
          <w:tcPr>
            <w:tcW w:w="2287" w:type="dxa"/>
            <w:tcBorders>
              <w:top w:val="single" w:sz="4" w:space="0" w:color="auto"/>
              <w:left w:val="single" w:sz="4" w:space="0" w:color="auto"/>
              <w:bottom w:val="single" w:sz="4" w:space="0" w:color="auto"/>
              <w:right w:val="single" w:sz="4" w:space="0" w:color="auto"/>
            </w:tcBorders>
            <w:vAlign w:val="center"/>
          </w:tcPr>
          <w:p w:rsidR="00A46B70" w:rsidRPr="002E6C2D" w:rsidRDefault="004701F9" w:rsidP="004701F9">
            <w:pPr>
              <w:jc w:val="center"/>
            </w:pPr>
            <w:proofErr w:type="spellStart"/>
            <w:r w:rsidRPr="002E6C2D">
              <w:t>Midsem</w:t>
            </w:r>
            <w:proofErr w:type="spellEnd"/>
            <w:r w:rsidRPr="002E6C2D">
              <w:t xml:space="preserve"> </w:t>
            </w:r>
            <w:r w:rsidR="00F10091" w:rsidRPr="002E6C2D">
              <w:t>Test</w:t>
            </w:r>
          </w:p>
        </w:tc>
        <w:tc>
          <w:tcPr>
            <w:tcW w:w="1640" w:type="dxa"/>
            <w:tcBorders>
              <w:top w:val="single" w:sz="4" w:space="0" w:color="auto"/>
              <w:left w:val="single" w:sz="4" w:space="0" w:color="auto"/>
              <w:bottom w:val="single" w:sz="4" w:space="0" w:color="auto"/>
              <w:right w:val="single" w:sz="4" w:space="0" w:color="auto"/>
            </w:tcBorders>
            <w:vAlign w:val="center"/>
          </w:tcPr>
          <w:p w:rsidR="00A46B70" w:rsidRPr="002E6C2D" w:rsidRDefault="004701F9" w:rsidP="00A161AF">
            <w:pPr>
              <w:tabs>
                <w:tab w:val="left" w:pos="-720"/>
                <w:tab w:val="left" w:pos="720"/>
              </w:tabs>
              <w:suppressAutoHyphens/>
              <w:jc w:val="center"/>
              <w:rPr>
                <w:spacing w:val="-3"/>
              </w:rPr>
            </w:pPr>
            <w:r w:rsidRPr="002E6C2D">
              <w:rPr>
                <w:spacing w:val="-3"/>
              </w:rPr>
              <w:t>90</w:t>
            </w:r>
          </w:p>
        </w:tc>
        <w:tc>
          <w:tcPr>
            <w:tcW w:w="2070" w:type="dxa"/>
            <w:tcBorders>
              <w:top w:val="single" w:sz="4" w:space="0" w:color="auto"/>
              <w:left w:val="single" w:sz="4" w:space="0" w:color="auto"/>
              <w:bottom w:val="single" w:sz="4" w:space="0" w:color="auto"/>
              <w:right w:val="single" w:sz="4" w:space="0" w:color="auto"/>
            </w:tcBorders>
            <w:vAlign w:val="center"/>
          </w:tcPr>
          <w:p w:rsidR="00A46B70" w:rsidRPr="002E6C2D" w:rsidRDefault="00FD5075" w:rsidP="00FD5075">
            <w:pPr>
              <w:tabs>
                <w:tab w:val="left" w:pos="-720"/>
                <w:tab w:val="left" w:pos="720"/>
              </w:tabs>
              <w:suppressAutoHyphens/>
              <w:jc w:val="center"/>
              <w:rPr>
                <w:spacing w:val="-3"/>
              </w:rPr>
            </w:pPr>
            <w:r>
              <w:rPr>
                <w:spacing w:val="-3"/>
              </w:rPr>
              <w:t>25</w:t>
            </w:r>
          </w:p>
        </w:tc>
        <w:tc>
          <w:tcPr>
            <w:tcW w:w="2700" w:type="dxa"/>
            <w:tcBorders>
              <w:top w:val="single" w:sz="4" w:space="0" w:color="auto"/>
              <w:left w:val="single" w:sz="4" w:space="0" w:color="auto"/>
              <w:bottom w:val="single" w:sz="4" w:space="0" w:color="auto"/>
              <w:right w:val="single" w:sz="4" w:space="0" w:color="auto"/>
            </w:tcBorders>
          </w:tcPr>
          <w:p w:rsidR="00A46B70" w:rsidRPr="002E6C2D" w:rsidRDefault="00740CDF" w:rsidP="00740CDF">
            <w:pPr>
              <w:tabs>
                <w:tab w:val="left" w:pos="-720"/>
                <w:tab w:val="left" w:pos="720"/>
              </w:tabs>
              <w:suppressAutoHyphens/>
              <w:jc w:val="center"/>
              <w:rPr>
                <w:szCs w:val="20"/>
              </w:rPr>
            </w:pPr>
            <w:r w:rsidRPr="00740CDF">
              <w:rPr>
                <w:szCs w:val="20"/>
              </w:rPr>
              <w:t xml:space="preserve">7/3 </w:t>
            </w:r>
            <w:r>
              <w:rPr>
                <w:szCs w:val="20"/>
              </w:rPr>
              <w:t xml:space="preserve"> </w:t>
            </w:r>
            <w:r w:rsidRPr="00740CDF">
              <w:rPr>
                <w:szCs w:val="20"/>
              </w:rPr>
              <w:t>9.00 - 10.30AM</w:t>
            </w:r>
          </w:p>
        </w:tc>
        <w:tc>
          <w:tcPr>
            <w:tcW w:w="1857" w:type="dxa"/>
            <w:tcBorders>
              <w:top w:val="single" w:sz="4" w:space="0" w:color="auto"/>
              <w:left w:val="single" w:sz="4" w:space="0" w:color="auto"/>
              <w:bottom w:val="single" w:sz="4" w:space="0" w:color="auto"/>
              <w:right w:val="single" w:sz="4" w:space="0" w:color="auto"/>
            </w:tcBorders>
            <w:vAlign w:val="center"/>
          </w:tcPr>
          <w:p w:rsidR="00A46B70" w:rsidRPr="002E6C2D" w:rsidRDefault="00A46B70" w:rsidP="00A161AF">
            <w:pPr>
              <w:tabs>
                <w:tab w:val="left" w:pos="-720"/>
                <w:tab w:val="left" w:pos="720"/>
              </w:tabs>
              <w:suppressAutoHyphens/>
              <w:jc w:val="center"/>
              <w:rPr>
                <w:spacing w:val="-3"/>
              </w:rPr>
            </w:pPr>
            <w:r w:rsidRPr="002E6C2D">
              <w:rPr>
                <w:spacing w:val="-3"/>
              </w:rPr>
              <w:t>Closed Book</w:t>
            </w:r>
          </w:p>
        </w:tc>
      </w:tr>
      <w:tr w:rsidR="00887FFA" w:rsidRPr="002E6C2D" w:rsidTr="00E067F2">
        <w:trPr>
          <w:trHeight w:val="350"/>
          <w:jc w:val="center"/>
        </w:trPr>
        <w:tc>
          <w:tcPr>
            <w:tcW w:w="2287" w:type="dxa"/>
            <w:tcBorders>
              <w:top w:val="single" w:sz="4" w:space="0" w:color="auto"/>
              <w:left w:val="single" w:sz="4" w:space="0" w:color="auto"/>
              <w:bottom w:val="single" w:sz="4" w:space="0" w:color="auto"/>
              <w:right w:val="single" w:sz="4" w:space="0" w:color="auto"/>
            </w:tcBorders>
            <w:vAlign w:val="center"/>
          </w:tcPr>
          <w:p w:rsidR="00153003" w:rsidRPr="002E6C2D" w:rsidRDefault="00150858" w:rsidP="002E134B">
            <w:pPr>
              <w:jc w:val="center"/>
            </w:pPr>
            <w:proofErr w:type="spellStart"/>
            <w:r>
              <w:t>Practicals</w:t>
            </w:r>
            <w:proofErr w:type="spellEnd"/>
            <w:r>
              <w:t xml:space="preserve"> </w:t>
            </w:r>
            <w:r w:rsidR="002E134B">
              <w:t xml:space="preserve">with report submission </w:t>
            </w:r>
            <w:r>
              <w:t>(#10)</w:t>
            </w:r>
          </w:p>
        </w:tc>
        <w:tc>
          <w:tcPr>
            <w:tcW w:w="1640" w:type="dxa"/>
            <w:tcBorders>
              <w:top w:val="single" w:sz="4" w:space="0" w:color="auto"/>
              <w:left w:val="single" w:sz="4" w:space="0" w:color="auto"/>
              <w:bottom w:val="single" w:sz="4" w:space="0" w:color="auto"/>
              <w:right w:val="single" w:sz="4" w:space="0" w:color="auto"/>
            </w:tcBorders>
            <w:vAlign w:val="center"/>
          </w:tcPr>
          <w:p w:rsidR="00153003" w:rsidRPr="002E6C2D" w:rsidRDefault="00150858" w:rsidP="00EB0D71">
            <w:pPr>
              <w:tabs>
                <w:tab w:val="left" w:pos="-720"/>
                <w:tab w:val="left" w:pos="720"/>
              </w:tabs>
              <w:suppressAutoHyphens/>
              <w:jc w:val="center"/>
              <w:rPr>
                <w:spacing w:val="-3"/>
              </w:rPr>
            </w:pPr>
            <w:r>
              <w:rPr>
                <w:spacing w:val="-3"/>
              </w:rPr>
              <w:t>-</w:t>
            </w:r>
          </w:p>
        </w:tc>
        <w:tc>
          <w:tcPr>
            <w:tcW w:w="2070" w:type="dxa"/>
            <w:tcBorders>
              <w:top w:val="single" w:sz="4" w:space="0" w:color="auto"/>
              <w:left w:val="single" w:sz="4" w:space="0" w:color="auto"/>
              <w:bottom w:val="single" w:sz="4" w:space="0" w:color="auto"/>
              <w:right w:val="single" w:sz="4" w:space="0" w:color="auto"/>
            </w:tcBorders>
            <w:vAlign w:val="center"/>
          </w:tcPr>
          <w:p w:rsidR="00153003" w:rsidRPr="002E6C2D" w:rsidRDefault="004701F9" w:rsidP="004701F9">
            <w:pPr>
              <w:tabs>
                <w:tab w:val="left" w:pos="-720"/>
                <w:tab w:val="left" w:pos="720"/>
              </w:tabs>
              <w:suppressAutoHyphens/>
              <w:jc w:val="center"/>
              <w:rPr>
                <w:spacing w:val="-3"/>
              </w:rPr>
            </w:pPr>
            <w:r w:rsidRPr="002E6C2D">
              <w:rPr>
                <w:spacing w:val="-3"/>
              </w:rPr>
              <w:t>20</w:t>
            </w:r>
          </w:p>
        </w:tc>
        <w:tc>
          <w:tcPr>
            <w:tcW w:w="2700" w:type="dxa"/>
            <w:tcBorders>
              <w:top w:val="single" w:sz="4" w:space="0" w:color="auto"/>
              <w:left w:val="single" w:sz="4" w:space="0" w:color="auto"/>
              <w:bottom w:val="single" w:sz="4" w:space="0" w:color="auto"/>
              <w:right w:val="single" w:sz="4" w:space="0" w:color="auto"/>
            </w:tcBorders>
            <w:vAlign w:val="center"/>
          </w:tcPr>
          <w:p w:rsidR="00153003" w:rsidRPr="002E6C2D" w:rsidRDefault="00836795" w:rsidP="00F10091">
            <w:pPr>
              <w:tabs>
                <w:tab w:val="left" w:pos="-720"/>
                <w:tab w:val="left" w:pos="720"/>
              </w:tabs>
              <w:suppressAutoHyphens/>
              <w:jc w:val="center"/>
              <w:rPr>
                <w:szCs w:val="20"/>
              </w:rPr>
            </w:pPr>
            <w:r w:rsidRPr="002E6C2D">
              <w:rPr>
                <w:szCs w:val="20"/>
              </w:rPr>
              <w:t>Continuous throughout the semester</w:t>
            </w:r>
          </w:p>
        </w:tc>
        <w:tc>
          <w:tcPr>
            <w:tcW w:w="1857" w:type="dxa"/>
            <w:tcBorders>
              <w:top w:val="single" w:sz="4" w:space="0" w:color="auto"/>
              <w:left w:val="single" w:sz="4" w:space="0" w:color="auto"/>
              <w:bottom w:val="single" w:sz="4" w:space="0" w:color="auto"/>
              <w:right w:val="single" w:sz="4" w:space="0" w:color="auto"/>
            </w:tcBorders>
            <w:vAlign w:val="center"/>
          </w:tcPr>
          <w:p w:rsidR="00153003" w:rsidRPr="002E6C2D" w:rsidRDefault="00695F7F" w:rsidP="00695F7F">
            <w:pPr>
              <w:tabs>
                <w:tab w:val="left" w:pos="-720"/>
                <w:tab w:val="left" w:pos="720"/>
              </w:tabs>
              <w:suppressAutoHyphens/>
              <w:jc w:val="center"/>
              <w:rPr>
                <w:spacing w:val="-3"/>
              </w:rPr>
            </w:pPr>
            <w:r>
              <w:rPr>
                <w:spacing w:val="-3"/>
              </w:rPr>
              <w:t>Open Book</w:t>
            </w:r>
          </w:p>
        </w:tc>
      </w:tr>
      <w:tr w:rsidR="00F10091" w:rsidRPr="002E6C2D" w:rsidTr="00E067F2">
        <w:trPr>
          <w:trHeight w:val="350"/>
          <w:jc w:val="center"/>
        </w:trPr>
        <w:tc>
          <w:tcPr>
            <w:tcW w:w="2287" w:type="dxa"/>
            <w:tcBorders>
              <w:top w:val="single" w:sz="4" w:space="0" w:color="auto"/>
              <w:left w:val="single" w:sz="4" w:space="0" w:color="auto"/>
              <w:bottom w:val="single" w:sz="4" w:space="0" w:color="auto"/>
              <w:right w:val="single" w:sz="4" w:space="0" w:color="auto"/>
            </w:tcBorders>
            <w:vAlign w:val="center"/>
          </w:tcPr>
          <w:p w:rsidR="00F10091" w:rsidRPr="002E6C2D" w:rsidRDefault="00D0053D" w:rsidP="00D0053D">
            <w:pPr>
              <w:jc w:val="center"/>
            </w:pPr>
            <w:r>
              <w:t>Literature Survey &amp;</w:t>
            </w:r>
            <w:r w:rsidR="00E067F2">
              <w:t>S</w:t>
            </w:r>
            <w:r w:rsidR="00FD5075">
              <w:t xml:space="preserve">imulations based </w:t>
            </w:r>
            <w:r w:rsidR="00E067F2">
              <w:t xml:space="preserve">group </w:t>
            </w:r>
            <w:r w:rsidR="00FD5075">
              <w:t>seminars(#</w:t>
            </w:r>
            <w:r>
              <w:t>2</w:t>
            </w:r>
            <w:r w:rsidR="00FD5075">
              <w:t>)</w:t>
            </w:r>
          </w:p>
        </w:tc>
        <w:tc>
          <w:tcPr>
            <w:tcW w:w="1640" w:type="dxa"/>
            <w:tcBorders>
              <w:top w:val="single" w:sz="4" w:space="0" w:color="auto"/>
              <w:left w:val="single" w:sz="4" w:space="0" w:color="auto"/>
              <w:bottom w:val="single" w:sz="4" w:space="0" w:color="auto"/>
              <w:right w:val="single" w:sz="4" w:space="0" w:color="auto"/>
            </w:tcBorders>
            <w:vAlign w:val="center"/>
          </w:tcPr>
          <w:p w:rsidR="00F10091" w:rsidRPr="002E6C2D" w:rsidRDefault="00F10091" w:rsidP="00A161AF">
            <w:pPr>
              <w:tabs>
                <w:tab w:val="left" w:pos="-720"/>
                <w:tab w:val="left" w:pos="720"/>
              </w:tabs>
              <w:suppressAutoHyphens/>
              <w:jc w:val="center"/>
              <w:rPr>
                <w:spacing w:val="-3"/>
              </w:rPr>
            </w:pPr>
            <w:r w:rsidRPr="002E6C2D">
              <w:rPr>
                <w:spacing w:val="-3"/>
              </w:rPr>
              <w:t>-</w:t>
            </w:r>
          </w:p>
        </w:tc>
        <w:tc>
          <w:tcPr>
            <w:tcW w:w="2070" w:type="dxa"/>
            <w:tcBorders>
              <w:top w:val="single" w:sz="4" w:space="0" w:color="auto"/>
              <w:left w:val="single" w:sz="4" w:space="0" w:color="auto"/>
              <w:bottom w:val="single" w:sz="4" w:space="0" w:color="auto"/>
              <w:right w:val="single" w:sz="4" w:space="0" w:color="auto"/>
            </w:tcBorders>
            <w:vAlign w:val="center"/>
          </w:tcPr>
          <w:p w:rsidR="00F10091" w:rsidRPr="002E6C2D" w:rsidRDefault="00F10091" w:rsidP="00836795">
            <w:pPr>
              <w:tabs>
                <w:tab w:val="left" w:pos="-720"/>
                <w:tab w:val="left" w:pos="720"/>
              </w:tabs>
              <w:suppressAutoHyphens/>
              <w:jc w:val="center"/>
              <w:rPr>
                <w:spacing w:val="-3"/>
              </w:rPr>
            </w:pPr>
            <w:r w:rsidRPr="002E6C2D">
              <w:rPr>
                <w:spacing w:val="-3"/>
              </w:rPr>
              <w:t>2</w:t>
            </w:r>
            <w:r w:rsidR="00BC7B45" w:rsidRPr="002E6C2D">
              <w:rPr>
                <w:spacing w:val="-3"/>
              </w:rPr>
              <w:t>0</w:t>
            </w:r>
          </w:p>
        </w:tc>
        <w:tc>
          <w:tcPr>
            <w:tcW w:w="2700" w:type="dxa"/>
            <w:tcBorders>
              <w:top w:val="single" w:sz="4" w:space="0" w:color="auto"/>
              <w:left w:val="single" w:sz="4" w:space="0" w:color="auto"/>
              <w:bottom w:val="single" w:sz="4" w:space="0" w:color="auto"/>
              <w:right w:val="single" w:sz="4" w:space="0" w:color="auto"/>
            </w:tcBorders>
            <w:vAlign w:val="center"/>
          </w:tcPr>
          <w:p w:rsidR="00F10091" w:rsidRPr="002E6C2D" w:rsidRDefault="00E067F2" w:rsidP="006C566F">
            <w:pPr>
              <w:tabs>
                <w:tab w:val="left" w:pos="-720"/>
                <w:tab w:val="left" w:pos="720"/>
              </w:tabs>
              <w:suppressAutoHyphens/>
              <w:jc w:val="center"/>
              <w:rPr>
                <w:szCs w:val="20"/>
              </w:rPr>
            </w:pPr>
            <w:r w:rsidRPr="002E6C2D">
              <w:rPr>
                <w:szCs w:val="20"/>
              </w:rPr>
              <w:t>Continuous throughout the semester</w:t>
            </w:r>
          </w:p>
        </w:tc>
        <w:tc>
          <w:tcPr>
            <w:tcW w:w="1857" w:type="dxa"/>
            <w:tcBorders>
              <w:top w:val="single" w:sz="4" w:space="0" w:color="auto"/>
              <w:left w:val="single" w:sz="4" w:space="0" w:color="auto"/>
              <w:bottom w:val="single" w:sz="4" w:space="0" w:color="auto"/>
              <w:right w:val="single" w:sz="4" w:space="0" w:color="auto"/>
            </w:tcBorders>
            <w:vAlign w:val="center"/>
          </w:tcPr>
          <w:p w:rsidR="00F10091" w:rsidRPr="002E6C2D" w:rsidRDefault="00695F7F" w:rsidP="00312259">
            <w:pPr>
              <w:tabs>
                <w:tab w:val="left" w:pos="-720"/>
                <w:tab w:val="left" w:pos="720"/>
              </w:tabs>
              <w:suppressAutoHyphens/>
              <w:jc w:val="center"/>
              <w:rPr>
                <w:spacing w:val="-3"/>
              </w:rPr>
            </w:pPr>
            <w:r>
              <w:rPr>
                <w:spacing w:val="-3"/>
              </w:rPr>
              <w:t>Open Book</w:t>
            </w:r>
          </w:p>
        </w:tc>
      </w:tr>
      <w:tr w:rsidR="00887FFA" w:rsidRPr="002E6C2D" w:rsidTr="00E067F2">
        <w:trPr>
          <w:trHeight w:val="350"/>
          <w:jc w:val="center"/>
        </w:trPr>
        <w:tc>
          <w:tcPr>
            <w:tcW w:w="2287" w:type="dxa"/>
            <w:tcBorders>
              <w:top w:val="single" w:sz="4" w:space="0" w:color="auto"/>
              <w:left w:val="single" w:sz="4" w:space="0" w:color="auto"/>
              <w:bottom w:val="single" w:sz="4" w:space="0" w:color="auto"/>
              <w:right w:val="single" w:sz="4" w:space="0" w:color="auto"/>
            </w:tcBorders>
            <w:vAlign w:val="center"/>
          </w:tcPr>
          <w:p w:rsidR="00153003" w:rsidRPr="002E6C2D" w:rsidRDefault="00153003" w:rsidP="00E067F2">
            <w:pPr>
              <w:jc w:val="center"/>
            </w:pPr>
            <w:proofErr w:type="spellStart"/>
            <w:r w:rsidRPr="002E6C2D">
              <w:t>Compre</w:t>
            </w:r>
            <w:proofErr w:type="spellEnd"/>
            <w:r w:rsidR="00E067F2">
              <w:t xml:space="preserve"> Exam</w:t>
            </w:r>
          </w:p>
        </w:tc>
        <w:tc>
          <w:tcPr>
            <w:tcW w:w="1640" w:type="dxa"/>
            <w:tcBorders>
              <w:top w:val="single" w:sz="4" w:space="0" w:color="auto"/>
              <w:left w:val="single" w:sz="4" w:space="0" w:color="auto"/>
              <w:bottom w:val="single" w:sz="4" w:space="0" w:color="auto"/>
              <w:right w:val="single" w:sz="4" w:space="0" w:color="auto"/>
            </w:tcBorders>
            <w:vAlign w:val="center"/>
          </w:tcPr>
          <w:p w:rsidR="00153003" w:rsidRPr="002E6C2D" w:rsidRDefault="00153003" w:rsidP="00A161AF">
            <w:pPr>
              <w:tabs>
                <w:tab w:val="left" w:pos="-720"/>
                <w:tab w:val="left" w:pos="720"/>
              </w:tabs>
              <w:suppressAutoHyphens/>
              <w:jc w:val="center"/>
              <w:rPr>
                <w:spacing w:val="-3"/>
              </w:rPr>
            </w:pPr>
            <w:r w:rsidRPr="002E6C2D">
              <w:rPr>
                <w:spacing w:val="-3"/>
              </w:rPr>
              <w:t>180</w:t>
            </w:r>
          </w:p>
        </w:tc>
        <w:tc>
          <w:tcPr>
            <w:tcW w:w="2070" w:type="dxa"/>
            <w:tcBorders>
              <w:top w:val="single" w:sz="4" w:space="0" w:color="auto"/>
              <w:left w:val="single" w:sz="4" w:space="0" w:color="auto"/>
              <w:bottom w:val="single" w:sz="4" w:space="0" w:color="auto"/>
              <w:right w:val="single" w:sz="4" w:space="0" w:color="auto"/>
            </w:tcBorders>
            <w:vAlign w:val="center"/>
          </w:tcPr>
          <w:p w:rsidR="00153003" w:rsidRPr="002E6C2D" w:rsidRDefault="00CA27E1" w:rsidP="00FD5075">
            <w:pPr>
              <w:tabs>
                <w:tab w:val="left" w:pos="-720"/>
                <w:tab w:val="left" w:pos="720"/>
              </w:tabs>
              <w:suppressAutoHyphens/>
              <w:jc w:val="center"/>
              <w:rPr>
                <w:spacing w:val="-3"/>
              </w:rPr>
            </w:pPr>
            <w:r w:rsidRPr="002E6C2D">
              <w:rPr>
                <w:spacing w:val="-3"/>
              </w:rPr>
              <w:t>3</w:t>
            </w:r>
            <w:r w:rsidR="00FD5075">
              <w:rPr>
                <w:spacing w:val="-3"/>
              </w:rPr>
              <w:t>5</w:t>
            </w:r>
          </w:p>
        </w:tc>
        <w:tc>
          <w:tcPr>
            <w:tcW w:w="2700" w:type="dxa"/>
            <w:tcBorders>
              <w:top w:val="single" w:sz="4" w:space="0" w:color="auto"/>
              <w:left w:val="single" w:sz="4" w:space="0" w:color="auto"/>
              <w:bottom w:val="single" w:sz="4" w:space="0" w:color="auto"/>
              <w:right w:val="single" w:sz="4" w:space="0" w:color="auto"/>
            </w:tcBorders>
            <w:vAlign w:val="center"/>
          </w:tcPr>
          <w:p w:rsidR="00153003" w:rsidRPr="002E6C2D" w:rsidRDefault="00576464" w:rsidP="00CB4037">
            <w:pPr>
              <w:tabs>
                <w:tab w:val="left" w:pos="-720"/>
                <w:tab w:val="left" w:pos="720"/>
              </w:tabs>
              <w:suppressAutoHyphens/>
              <w:jc w:val="center"/>
              <w:rPr>
                <w:spacing w:val="-3"/>
                <w:szCs w:val="20"/>
              </w:rPr>
            </w:pPr>
            <w:r>
              <w:rPr>
                <w:szCs w:val="20"/>
              </w:rPr>
              <w:t>14/05 FN</w:t>
            </w:r>
          </w:p>
        </w:tc>
        <w:tc>
          <w:tcPr>
            <w:tcW w:w="1857" w:type="dxa"/>
            <w:tcBorders>
              <w:top w:val="single" w:sz="4" w:space="0" w:color="auto"/>
              <w:left w:val="single" w:sz="4" w:space="0" w:color="auto"/>
              <w:bottom w:val="single" w:sz="4" w:space="0" w:color="auto"/>
              <w:right w:val="single" w:sz="4" w:space="0" w:color="auto"/>
            </w:tcBorders>
            <w:vAlign w:val="center"/>
          </w:tcPr>
          <w:p w:rsidR="00153003" w:rsidRPr="002E6C2D" w:rsidRDefault="00153003" w:rsidP="00A161AF">
            <w:pPr>
              <w:tabs>
                <w:tab w:val="left" w:pos="-720"/>
                <w:tab w:val="left" w:pos="720"/>
              </w:tabs>
              <w:suppressAutoHyphens/>
              <w:jc w:val="center"/>
              <w:rPr>
                <w:spacing w:val="-3"/>
              </w:rPr>
            </w:pPr>
            <w:r w:rsidRPr="002E6C2D">
              <w:rPr>
                <w:spacing w:val="-3"/>
              </w:rPr>
              <w:t>Closed Book</w:t>
            </w:r>
          </w:p>
        </w:tc>
      </w:tr>
    </w:tbl>
    <w:p w:rsidR="00312259" w:rsidRPr="002E6C2D" w:rsidRDefault="00312259" w:rsidP="00357D29">
      <w:pPr>
        <w:pStyle w:val="BodyText"/>
        <w:spacing w:line="180" w:lineRule="auto"/>
      </w:pPr>
    </w:p>
    <w:p w:rsidR="00AD25E1" w:rsidRPr="00FD5075" w:rsidRDefault="00AD25E1" w:rsidP="00FD5075">
      <w:pPr>
        <w:pStyle w:val="ListParagraph"/>
        <w:numPr>
          <w:ilvl w:val="0"/>
          <w:numId w:val="4"/>
        </w:numPr>
        <w:spacing w:after="120"/>
        <w:rPr>
          <w:b/>
          <w:bCs/>
        </w:rPr>
      </w:pPr>
      <w:r w:rsidRPr="00FD5075">
        <w:rPr>
          <w:b/>
          <w:bCs/>
        </w:rPr>
        <w:t xml:space="preserve">Chamber Consultation </w:t>
      </w:r>
      <w:proofErr w:type="spellStart"/>
      <w:r w:rsidRPr="00FD5075">
        <w:rPr>
          <w:b/>
          <w:bCs/>
        </w:rPr>
        <w:t>Hour</w:t>
      </w:r>
      <w:proofErr w:type="gramStart"/>
      <w:r w:rsidRPr="00FD5075">
        <w:rPr>
          <w:b/>
          <w:bCs/>
        </w:rPr>
        <w:t>:</w:t>
      </w:r>
      <w:r w:rsidR="00CA27E1" w:rsidRPr="00FD5075">
        <w:rPr>
          <w:bCs/>
        </w:rPr>
        <w:t>To</w:t>
      </w:r>
      <w:proofErr w:type="spellEnd"/>
      <w:proofErr w:type="gramEnd"/>
      <w:r w:rsidR="00CA27E1" w:rsidRPr="00FD5075">
        <w:rPr>
          <w:bCs/>
        </w:rPr>
        <w:t xml:space="preserve"> be announced in the class</w:t>
      </w:r>
      <w:r w:rsidR="00E945B1" w:rsidRPr="00FD5075">
        <w:rPr>
          <w:bCs/>
        </w:rPr>
        <w:t>.</w:t>
      </w:r>
    </w:p>
    <w:p w:rsidR="00FD5075" w:rsidRDefault="00FD5075" w:rsidP="00FD5075">
      <w:pPr>
        <w:pStyle w:val="BodyText"/>
        <w:spacing w:line="180" w:lineRule="auto"/>
      </w:pPr>
    </w:p>
    <w:p w:rsidR="00AD25E1" w:rsidRPr="002E6C2D" w:rsidRDefault="00AD25E1" w:rsidP="00FD5075">
      <w:pPr>
        <w:pStyle w:val="ListParagraph"/>
        <w:numPr>
          <w:ilvl w:val="0"/>
          <w:numId w:val="4"/>
        </w:numPr>
        <w:spacing w:after="120"/>
        <w:jc w:val="both"/>
      </w:pPr>
      <w:proofErr w:type="spellStart"/>
      <w:r w:rsidRPr="00FD5075">
        <w:rPr>
          <w:b/>
          <w:bCs/>
        </w:rPr>
        <w:t>Notice</w:t>
      </w:r>
      <w:r w:rsidR="00A44798" w:rsidRPr="00FD5075">
        <w:rPr>
          <w:b/>
          <w:bCs/>
        </w:rPr>
        <w:t>s</w:t>
      </w:r>
      <w:proofErr w:type="gramStart"/>
      <w:r w:rsidRPr="00FD5075">
        <w:rPr>
          <w:b/>
          <w:bCs/>
        </w:rPr>
        <w:t>:</w:t>
      </w:r>
      <w:r w:rsidR="00CA27E1" w:rsidRPr="002E6C2D">
        <w:t>All</w:t>
      </w:r>
      <w:proofErr w:type="spellEnd"/>
      <w:proofErr w:type="gramEnd"/>
      <w:r w:rsidR="00CA27E1" w:rsidRPr="002E6C2D">
        <w:t xml:space="preserve"> notices concerning this course will be displayed in </w:t>
      </w:r>
      <w:r w:rsidR="00D41AE0" w:rsidRPr="00FD5075">
        <w:rPr>
          <w:i/>
        </w:rPr>
        <w:t>CMS (institute’s web</w:t>
      </w:r>
      <w:r w:rsidR="00E945B1" w:rsidRPr="00FD5075">
        <w:rPr>
          <w:i/>
        </w:rPr>
        <w:t>-</w:t>
      </w:r>
      <w:r w:rsidR="00D41AE0" w:rsidRPr="00FD5075">
        <w:rPr>
          <w:i/>
        </w:rPr>
        <w:t>based Course Management System)</w:t>
      </w:r>
      <w:r w:rsidR="00D41AE0" w:rsidRPr="002E6C2D">
        <w:t>. S</w:t>
      </w:r>
      <w:r w:rsidR="00CA27E1" w:rsidRPr="002E6C2D">
        <w:t xml:space="preserve">tudents are advised to visit </w:t>
      </w:r>
      <w:proofErr w:type="spellStart"/>
      <w:r w:rsidR="00D41AE0" w:rsidRPr="00FD5075">
        <w:rPr>
          <w:i/>
        </w:rPr>
        <w:t>CMS</w:t>
      </w:r>
      <w:r w:rsidR="00CA27E1" w:rsidRPr="002E6C2D">
        <w:t>regularly</w:t>
      </w:r>
      <w:proofErr w:type="spellEnd"/>
      <w:r w:rsidR="00CA27E1" w:rsidRPr="002E6C2D">
        <w:t xml:space="preserve"> for all notices and updates</w:t>
      </w:r>
      <w:r w:rsidR="00D41AE0" w:rsidRPr="002E6C2D">
        <w:t>.</w:t>
      </w:r>
    </w:p>
    <w:p w:rsidR="00A44798" w:rsidRPr="002E6C2D" w:rsidRDefault="00A44798" w:rsidP="00357D29">
      <w:pPr>
        <w:pStyle w:val="BodyText"/>
        <w:spacing w:line="180" w:lineRule="auto"/>
      </w:pPr>
    </w:p>
    <w:p w:rsidR="00A44798" w:rsidRPr="002E6C2D" w:rsidRDefault="00A44798" w:rsidP="00FD5075">
      <w:pPr>
        <w:pStyle w:val="ListParagraph"/>
        <w:numPr>
          <w:ilvl w:val="0"/>
          <w:numId w:val="4"/>
        </w:numPr>
        <w:spacing w:after="120"/>
        <w:jc w:val="both"/>
      </w:pPr>
      <w:r w:rsidRPr="00FD5075">
        <w:rPr>
          <w:b/>
          <w:bCs/>
        </w:rPr>
        <w:t xml:space="preserve">Make-up </w:t>
      </w:r>
      <w:proofErr w:type="spellStart"/>
      <w:r w:rsidRPr="00FD5075">
        <w:rPr>
          <w:b/>
          <w:bCs/>
        </w:rPr>
        <w:t>Policy</w:t>
      </w:r>
      <w:proofErr w:type="gramStart"/>
      <w:r w:rsidRPr="00FD5075">
        <w:rPr>
          <w:b/>
          <w:bCs/>
        </w:rPr>
        <w:t>:</w:t>
      </w:r>
      <w:r w:rsidR="00CA27E1" w:rsidRPr="002E6C2D">
        <w:t>Make</w:t>
      </w:r>
      <w:proofErr w:type="spellEnd"/>
      <w:proofErr w:type="gramEnd"/>
      <w:r w:rsidR="00CA27E1" w:rsidRPr="002E6C2D">
        <w:t xml:space="preserve">-up request for tests shall be granted only for the </w:t>
      </w:r>
      <w:r w:rsidR="00CA27E1" w:rsidRPr="00FD5075">
        <w:rPr>
          <w:i/>
        </w:rPr>
        <w:t>genuine</w:t>
      </w:r>
      <w:r w:rsidR="00CA27E1" w:rsidRPr="002E6C2D">
        <w:t xml:space="preserve"> case with sufficient evidence. Request letter duly signed by the student </w:t>
      </w:r>
      <w:r w:rsidR="0085505A" w:rsidRPr="002E6C2D">
        <w:t xml:space="preserve">must </w:t>
      </w:r>
      <w:r w:rsidR="00CA27E1" w:rsidRPr="002E6C2D">
        <w:t xml:space="preserve">reach the </w:t>
      </w:r>
      <w:r w:rsidR="0085505A" w:rsidRPr="002E6C2D">
        <w:t xml:space="preserve">undersigned </w:t>
      </w:r>
      <w:r w:rsidR="00CA27E1" w:rsidRPr="002E6C2D">
        <w:t>at least one day before the scheduled test.</w:t>
      </w:r>
    </w:p>
    <w:p w:rsidR="00EA3338" w:rsidRPr="002E6C2D" w:rsidRDefault="00EA3338" w:rsidP="00357D29">
      <w:pPr>
        <w:pStyle w:val="BodyText"/>
        <w:spacing w:line="180" w:lineRule="auto"/>
      </w:pPr>
    </w:p>
    <w:p w:rsidR="00BB0109" w:rsidRDefault="00BB0109" w:rsidP="00BB0109">
      <w:pPr>
        <w:pStyle w:val="ListParagraph"/>
        <w:numPr>
          <w:ilvl w:val="0"/>
          <w:numId w:val="4"/>
        </w:numPr>
      </w:pPr>
      <w:r w:rsidRPr="00BB0109">
        <w:rPr>
          <w:b/>
          <w:bCs/>
          <w:color w:val="222222"/>
          <w:spacing w:val="-2"/>
          <w:shd w:val="clear" w:color="auto" w:fill="FFFFFF"/>
        </w:rPr>
        <w:t>Academic Honesty and Integrity Policy:</w:t>
      </w:r>
      <w:r w:rsidRPr="00BB0109">
        <w:rPr>
          <w:color w:val="222222"/>
          <w:spacing w:val="-2"/>
          <w:shd w:val="clear" w:color="auto" w:fill="FFFFFF"/>
        </w:rPr>
        <w:t> Academic honesty and integrity are to be maintained by all the students throughout the semester and no type of academic dishonesty is acceptable.</w:t>
      </w:r>
    </w:p>
    <w:p w:rsidR="00203F68" w:rsidRDefault="00203F68" w:rsidP="00FD5075">
      <w:pPr>
        <w:spacing w:after="120"/>
        <w:jc w:val="right"/>
      </w:pPr>
    </w:p>
    <w:p w:rsidR="006643C5" w:rsidRPr="00FD5075" w:rsidRDefault="00AB5E1E" w:rsidP="00FD5075">
      <w:pPr>
        <w:spacing w:after="120"/>
        <w:jc w:val="right"/>
        <w:rPr>
          <w:b/>
          <w:bCs/>
        </w:rPr>
      </w:pPr>
      <w:r>
        <w:tab/>
      </w:r>
      <w:r>
        <w:tab/>
      </w:r>
      <w:r>
        <w:tab/>
      </w:r>
      <w:r>
        <w:tab/>
      </w:r>
      <w:r>
        <w:tab/>
      </w:r>
      <w:r w:rsidR="008005D9" w:rsidRPr="00FD5075">
        <w:rPr>
          <w:b/>
          <w:bCs/>
        </w:rPr>
        <w:t>INSTRUCTOR-IN-</w:t>
      </w:r>
      <w:proofErr w:type="gramStart"/>
      <w:r w:rsidR="008005D9" w:rsidRPr="00FD5075">
        <w:rPr>
          <w:b/>
          <w:bCs/>
        </w:rPr>
        <w:t>CHARGE</w:t>
      </w:r>
      <w:r w:rsidR="00F10091" w:rsidRPr="00FD5075">
        <w:rPr>
          <w:b/>
          <w:bCs/>
        </w:rPr>
        <w:t>(</w:t>
      </w:r>
      <w:proofErr w:type="gramEnd"/>
      <w:r w:rsidR="00F10091" w:rsidRPr="00FD5075">
        <w:rPr>
          <w:b/>
          <w:bCs/>
        </w:rPr>
        <w:t>ME G</w:t>
      </w:r>
      <w:r w:rsidR="00DA73C1" w:rsidRPr="00FD5075">
        <w:rPr>
          <w:b/>
          <w:bCs/>
        </w:rPr>
        <w:t>5</w:t>
      </w:r>
      <w:r w:rsidR="000634B1" w:rsidRPr="00FD5075">
        <w:rPr>
          <w:b/>
          <w:bCs/>
        </w:rPr>
        <w:t>34</w:t>
      </w:r>
      <w:r w:rsidR="00F10091" w:rsidRPr="00FD5075">
        <w:rPr>
          <w:b/>
          <w:bCs/>
        </w:rPr>
        <w:t>)</w:t>
      </w:r>
    </w:p>
    <w:sectPr w:rsidR="006643C5" w:rsidRPr="00FD5075" w:rsidSect="00FD5075">
      <w:headerReference w:type="default" r:id="rId9"/>
      <w:footerReference w:type="default" r:id="rId10"/>
      <w:type w:val="continuous"/>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6DF" w:rsidRDefault="009056DF" w:rsidP="00EB2F06">
      <w:r>
        <w:separator/>
      </w:r>
    </w:p>
  </w:endnote>
  <w:endnote w:type="continuationSeparator" w:id="1">
    <w:p w:rsidR="009056DF" w:rsidRDefault="009056DF" w:rsidP="00EB2F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8170205"/>
      <w:docPartObj>
        <w:docPartGallery w:val="Page Numbers (Bottom of Page)"/>
        <w:docPartUnique/>
      </w:docPartObj>
    </w:sdtPr>
    <w:sdtEndPr>
      <w:rPr>
        <w:noProof/>
      </w:rPr>
    </w:sdtEndPr>
    <w:sdtContent>
      <w:p w:rsidR="004B3945" w:rsidRDefault="004B3945">
        <w:pPr>
          <w:pStyle w:val="Footer"/>
          <w:jc w:val="right"/>
        </w:pPr>
        <w:r>
          <w:t xml:space="preserve">Page </w:t>
        </w:r>
        <w:r w:rsidR="003D500D">
          <w:fldChar w:fldCharType="begin"/>
        </w:r>
        <w:r>
          <w:instrText xml:space="preserve"> PAGE   \* MERGEFORMAT </w:instrText>
        </w:r>
        <w:r w:rsidR="003D500D">
          <w:fldChar w:fldCharType="separate"/>
        </w:r>
        <w:r w:rsidR="00740CDF">
          <w:rPr>
            <w:noProof/>
          </w:rPr>
          <w:t>2</w:t>
        </w:r>
        <w:r w:rsidR="003D500D">
          <w:rPr>
            <w:noProof/>
          </w:rPr>
          <w:fldChar w:fldCharType="end"/>
        </w:r>
      </w:p>
    </w:sdtContent>
  </w:sdt>
  <w:p w:rsidR="00DA1841" w:rsidRDefault="00DA18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6DF" w:rsidRDefault="009056DF" w:rsidP="00EB2F06">
      <w:r>
        <w:separator/>
      </w:r>
    </w:p>
  </w:footnote>
  <w:footnote w:type="continuationSeparator" w:id="1">
    <w:p w:rsidR="009056DF" w:rsidRDefault="009056DF" w:rsidP="00EB2F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06" w:rsidRDefault="00EB2F06" w:rsidP="00EB2F0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13CB"/>
    <w:multiLevelType w:val="hybridMultilevel"/>
    <w:tmpl w:val="632E6E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E88174F"/>
    <w:multiLevelType w:val="hybridMultilevel"/>
    <w:tmpl w:val="DE027FF0"/>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6B52F52"/>
    <w:multiLevelType w:val="hybridMultilevel"/>
    <w:tmpl w:val="3E70A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4C7CA5"/>
    <w:multiLevelType w:val="hybridMultilevel"/>
    <w:tmpl w:val="DF04512E"/>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4097"/>
  </w:hdrShapeDefaults>
  <w:footnotePr>
    <w:footnote w:id="0"/>
    <w:footnote w:id="1"/>
  </w:footnotePr>
  <w:endnotePr>
    <w:endnote w:id="0"/>
    <w:endnote w:id="1"/>
  </w:endnotePr>
  <w:compat/>
  <w:rsids>
    <w:rsidRoot w:val="00FB4DE4"/>
    <w:rsid w:val="0001356A"/>
    <w:rsid w:val="00045917"/>
    <w:rsid w:val="00055BC8"/>
    <w:rsid w:val="00055CEA"/>
    <w:rsid w:val="000634B1"/>
    <w:rsid w:val="00072EFE"/>
    <w:rsid w:val="000A4CE9"/>
    <w:rsid w:val="000D0C39"/>
    <w:rsid w:val="000E5C94"/>
    <w:rsid w:val="001253AD"/>
    <w:rsid w:val="001456CC"/>
    <w:rsid w:val="00150858"/>
    <w:rsid w:val="00153003"/>
    <w:rsid w:val="00156C2D"/>
    <w:rsid w:val="00167B88"/>
    <w:rsid w:val="00191100"/>
    <w:rsid w:val="001F50B9"/>
    <w:rsid w:val="00203F68"/>
    <w:rsid w:val="0021277E"/>
    <w:rsid w:val="00217EB9"/>
    <w:rsid w:val="00240A50"/>
    <w:rsid w:val="00251FD3"/>
    <w:rsid w:val="00256511"/>
    <w:rsid w:val="0029171E"/>
    <w:rsid w:val="0029419D"/>
    <w:rsid w:val="0029648E"/>
    <w:rsid w:val="002A4E76"/>
    <w:rsid w:val="002C1332"/>
    <w:rsid w:val="002C2431"/>
    <w:rsid w:val="002C25C9"/>
    <w:rsid w:val="002E134B"/>
    <w:rsid w:val="002E6C2D"/>
    <w:rsid w:val="002F1369"/>
    <w:rsid w:val="002F18D1"/>
    <w:rsid w:val="00305B17"/>
    <w:rsid w:val="00312259"/>
    <w:rsid w:val="00323327"/>
    <w:rsid w:val="00324E90"/>
    <w:rsid w:val="00334BA6"/>
    <w:rsid w:val="003535BA"/>
    <w:rsid w:val="003558C3"/>
    <w:rsid w:val="00357D29"/>
    <w:rsid w:val="0038678C"/>
    <w:rsid w:val="003928A4"/>
    <w:rsid w:val="003D500D"/>
    <w:rsid w:val="003D6BA8"/>
    <w:rsid w:val="003E2C73"/>
    <w:rsid w:val="003F66A8"/>
    <w:rsid w:val="004070C6"/>
    <w:rsid w:val="0041456B"/>
    <w:rsid w:val="004346B8"/>
    <w:rsid w:val="0043703D"/>
    <w:rsid w:val="004571B3"/>
    <w:rsid w:val="004701F9"/>
    <w:rsid w:val="004718F7"/>
    <w:rsid w:val="004752B1"/>
    <w:rsid w:val="004B3945"/>
    <w:rsid w:val="004C4A48"/>
    <w:rsid w:val="004F6D42"/>
    <w:rsid w:val="00500020"/>
    <w:rsid w:val="00507883"/>
    <w:rsid w:val="00507A43"/>
    <w:rsid w:val="00511253"/>
    <w:rsid w:val="00512DE6"/>
    <w:rsid w:val="0051535D"/>
    <w:rsid w:val="00523E0A"/>
    <w:rsid w:val="00531782"/>
    <w:rsid w:val="00553AFE"/>
    <w:rsid w:val="00562598"/>
    <w:rsid w:val="00562AB6"/>
    <w:rsid w:val="00563DD7"/>
    <w:rsid w:val="00576464"/>
    <w:rsid w:val="00576A69"/>
    <w:rsid w:val="00592784"/>
    <w:rsid w:val="005B5FD3"/>
    <w:rsid w:val="005C462F"/>
    <w:rsid w:val="005C5B22"/>
    <w:rsid w:val="005C6693"/>
    <w:rsid w:val="005D00FF"/>
    <w:rsid w:val="005F7974"/>
    <w:rsid w:val="00650244"/>
    <w:rsid w:val="00651E97"/>
    <w:rsid w:val="006579C3"/>
    <w:rsid w:val="006643C5"/>
    <w:rsid w:val="00667391"/>
    <w:rsid w:val="00670BDE"/>
    <w:rsid w:val="00682ADD"/>
    <w:rsid w:val="00695F7F"/>
    <w:rsid w:val="006A4045"/>
    <w:rsid w:val="006C19EB"/>
    <w:rsid w:val="00701840"/>
    <w:rsid w:val="007074A3"/>
    <w:rsid w:val="00724BB7"/>
    <w:rsid w:val="00740CDF"/>
    <w:rsid w:val="00744978"/>
    <w:rsid w:val="00746E7D"/>
    <w:rsid w:val="007543E4"/>
    <w:rsid w:val="007562F5"/>
    <w:rsid w:val="007624EF"/>
    <w:rsid w:val="007B6831"/>
    <w:rsid w:val="007C11CE"/>
    <w:rsid w:val="007D58BE"/>
    <w:rsid w:val="007E04FD"/>
    <w:rsid w:val="007E402E"/>
    <w:rsid w:val="008005D9"/>
    <w:rsid w:val="00813130"/>
    <w:rsid w:val="008154A8"/>
    <w:rsid w:val="0082588E"/>
    <w:rsid w:val="00830DB2"/>
    <w:rsid w:val="00831DD5"/>
    <w:rsid w:val="00836795"/>
    <w:rsid w:val="0085505A"/>
    <w:rsid w:val="00887FFA"/>
    <w:rsid w:val="00894C3B"/>
    <w:rsid w:val="008A2200"/>
    <w:rsid w:val="009056DF"/>
    <w:rsid w:val="00965C4F"/>
    <w:rsid w:val="0097446D"/>
    <w:rsid w:val="0097488C"/>
    <w:rsid w:val="00983916"/>
    <w:rsid w:val="009A1E1B"/>
    <w:rsid w:val="009B48FD"/>
    <w:rsid w:val="009D5463"/>
    <w:rsid w:val="009F30C4"/>
    <w:rsid w:val="00A161AF"/>
    <w:rsid w:val="00A31483"/>
    <w:rsid w:val="00A43DC5"/>
    <w:rsid w:val="00A44798"/>
    <w:rsid w:val="00A46B70"/>
    <w:rsid w:val="00A92B87"/>
    <w:rsid w:val="00AB2117"/>
    <w:rsid w:val="00AB5E1E"/>
    <w:rsid w:val="00AC11B3"/>
    <w:rsid w:val="00AD25E1"/>
    <w:rsid w:val="00AF0EC6"/>
    <w:rsid w:val="00AF125F"/>
    <w:rsid w:val="00B23878"/>
    <w:rsid w:val="00B50584"/>
    <w:rsid w:val="00B55284"/>
    <w:rsid w:val="00B86684"/>
    <w:rsid w:val="00BA5137"/>
    <w:rsid w:val="00BA568D"/>
    <w:rsid w:val="00BB0109"/>
    <w:rsid w:val="00BC16AD"/>
    <w:rsid w:val="00BC7B45"/>
    <w:rsid w:val="00BE47F3"/>
    <w:rsid w:val="00BF5255"/>
    <w:rsid w:val="00C317F2"/>
    <w:rsid w:val="00C338D9"/>
    <w:rsid w:val="00C35130"/>
    <w:rsid w:val="00C6663B"/>
    <w:rsid w:val="00CA27E1"/>
    <w:rsid w:val="00CA693E"/>
    <w:rsid w:val="00CB4037"/>
    <w:rsid w:val="00CE0A17"/>
    <w:rsid w:val="00CE57DF"/>
    <w:rsid w:val="00CF21AC"/>
    <w:rsid w:val="00D0053D"/>
    <w:rsid w:val="00D036CE"/>
    <w:rsid w:val="00D149A5"/>
    <w:rsid w:val="00D41AE0"/>
    <w:rsid w:val="00D569CD"/>
    <w:rsid w:val="00D66298"/>
    <w:rsid w:val="00D71CF4"/>
    <w:rsid w:val="00DA1841"/>
    <w:rsid w:val="00DA1F5A"/>
    <w:rsid w:val="00DA73C1"/>
    <w:rsid w:val="00DB7398"/>
    <w:rsid w:val="00DD7A77"/>
    <w:rsid w:val="00DE3D84"/>
    <w:rsid w:val="00E067F2"/>
    <w:rsid w:val="00E142BE"/>
    <w:rsid w:val="00E2631A"/>
    <w:rsid w:val="00E268B7"/>
    <w:rsid w:val="00E41E58"/>
    <w:rsid w:val="00E47261"/>
    <w:rsid w:val="00E47DEA"/>
    <w:rsid w:val="00E61C30"/>
    <w:rsid w:val="00E754E7"/>
    <w:rsid w:val="00E945B1"/>
    <w:rsid w:val="00EA3338"/>
    <w:rsid w:val="00EA3C26"/>
    <w:rsid w:val="00EB0D71"/>
    <w:rsid w:val="00EB2077"/>
    <w:rsid w:val="00EB2F06"/>
    <w:rsid w:val="00EB7E1B"/>
    <w:rsid w:val="00ED447B"/>
    <w:rsid w:val="00ED578D"/>
    <w:rsid w:val="00EE3FE3"/>
    <w:rsid w:val="00F10091"/>
    <w:rsid w:val="00F34A71"/>
    <w:rsid w:val="00F45E80"/>
    <w:rsid w:val="00F70B0A"/>
    <w:rsid w:val="00F74057"/>
    <w:rsid w:val="00F7569B"/>
    <w:rsid w:val="00F931D2"/>
    <w:rsid w:val="00F96F03"/>
    <w:rsid w:val="00FB4DE4"/>
    <w:rsid w:val="00FC3C42"/>
    <w:rsid w:val="00FD5075"/>
    <w:rsid w:val="00FE5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00D"/>
    <w:rPr>
      <w:sz w:val="24"/>
      <w:szCs w:val="24"/>
    </w:rPr>
  </w:style>
  <w:style w:type="paragraph" w:styleId="Heading1">
    <w:name w:val="heading 1"/>
    <w:basedOn w:val="Normal"/>
    <w:next w:val="Normal"/>
    <w:qFormat/>
    <w:rsid w:val="003D500D"/>
    <w:pPr>
      <w:keepNext/>
      <w:outlineLvl w:val="0"/>
    </w:pPr>
    <w:rPr>
      <w:u w:val="single"/>
    </w:rPr>
  </w:style>
  <w:style w:type="paragraph" w:styleId="Heading2">
    <w:name w:val="heading 2"/>
    <w:basedOn w:val="Normal"/>
    <w:next w:val="Normal"/>
    <w:qFormat/>
    <w:rsid w:val="003D500D"/>
    <w:pPr>
      <w:keepNext/>
      <w:outlineLvl w:val="1"/>
    </w:pPr>
    <w:rPr>
      <w:i/>
      <w:iCs/>
    </w:rPr>
  </w:style>
  <w:style w:type="paragraph" w:styleId="Heading3">
    <w:name w:val="heading 3"/>
    <w:basedOn w:val="Normal"/>
    <w:next w:val="Normal"/>
    <w:qFormat/>
    <w:rsid w:val="003D500D"/>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D500D"/>
    <w:pPr>
      <w:jc w:val="both"/>
    </w:pPr>
  </w:style>
  <w:style w:type="paragraph" w:styleId="BodyTextIndent">
    <w:name w:val="Body Text Indent"/>
    <w:basedOn w:val="Normal"/>
    <w:link w:val="BodyTextIndentChar"/>
    <w:rsid w:val="003D500D"/>
    <w:pPr>
      <w:ind w:left="900" w:hanging="540"/>
      <w:jc w:val="both"/>
    </w:pPr>
  </w:style>
  <w:style w:type="paragraph" w:styleId="BodyText2">
    <w:name w:val="Body Text 2"/>
    <w:basedOn w:val="Normal"/>
    <w:semiHidden/>
    <w:rsid w:val="003D500D"/>
    <w:pPr>
      <w:jc w:val="both"/>
    </w:pPr>
    <w:rPr>
      <w:sz w:val="20"/>
    </w:rPr>
  </w:style>
  <w:style w:type="paragraph" w:styleId="BodyTextIndent2">
    <w:name w:val="Body Text Indent 2"/>
    <w:basedOn w:val="Normal"/>
    <w:semiHidden/>
    <w:rsid w:val="003D500D"/>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basedOn w:val="DefaultParagraphFont"/>
    <w:link w:val="BodyTextIndent"/>
    <w:rsid w:val="00156C2D"/>
    <w:rPr>
      <w:sz w:val="24"/>
      <w:szCs w:val="24"/>
    </w:rPr>
  </w:style>
  <w:style w:type="paragraph" w:styleId="ListParagraph">
    <w:name w:val="List Paragraph"/>
    <w:basedOn w:val="Normal"/>
    <w:uiPriority w:val="34"/>
    <w:qFormat/>
    <w:rsid w:val="0053178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5B306-25F0-43E6-9480-ADC214E9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667</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User</cp:lastModifiedBy>
  <cp:revision>9</cp:revision>
  <cp:lastPrinted>2018-12-10T06:38:00Z</cp:lastPrinted>
  <dcterms:created xsi:type="dcterms:W3CDTF">2020-01-02T06:11:00Z</dcterms:created>
  <dcterms:modified xsi:type="dcterms:W3CDTF">2020-01-05T08:40:00Z</dcterms:modified>
</cp:coreProperties>
</file>