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B892E" w14:textId="77777777" w:rsidR="00F15F6C" w:rsidRDefault="00A32AD0">
      <w:pPr>
        <w:spacing w:line="276" w:lineRule="auto"/>
        <w:jc w:val="center"/>
        <w:rPr>
          <w:rFonts w:ascii="Garamond" w:eastAsia="Garamond" w:hAnsi="Garamond" w:cs="Garamond"/>
          <w:b/>
        </w:rPr>
      </w:pPr>
      <w:r>
        <w:rPr>
          <w:rFonts w:ascii="Garamond" w:eastAsia="Garamond" w:hAnsi="Garamond" w:cs="Garamond"/>
          <w:b/>
          <w:noProof/>
          <w:lang w:val="en-IN" w:eastAsia="en-IN"/>
        </w:rPr>
        <w:drawing>
          <wp:inline distT="0" distB="0" distL="0" distR="0" wp14:anchorId="507E69FE" wp14:editId="1CB50BF8">
            <wp:extent cx="4933950" cy="10191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33950" cy="1019175"/>
                    </a:xfrm>
                    <a:prstGeom prst="rect">
                      <a:avLst/>
                    </a:prstGeom>
                    <a:ln/>
                  </pic:spPr>
                </pic:pic>
              </a:graphicData>
            </a:graphic>
          </wp:inline>
        </w:drawing>
      </w:r>
    </w:p>
    <w:p w14:paraId="6316C91E" w14:textId="77777777" w:rsidR="00F15F6C" w:rsidRDefault="00A32AD0">
      <w:pPr>
        <w:pStyle w:val="Heading3"/>
        <w:numPr>
          <w:ilvl w:val="2"/>
          <w:numId w:val="1"/>
        </w:numPr>
        <w:spacing w:line="276" w:lineRule="auto"/>
        <w:rPr>
          <w:rFonts w:ascii="Garamond" w:eastAsia="Garamond" w:hAnsi="Garamond" w:cs="Garamond"/>
        </w:rPr>
      </w:pPr>
      <w:r>
        <w:rPr>
          <w:rFonts w:ascii="Garamond" w:eastAsia="Garamond" w:hAnsi="Garamond" w:cs="Garamond"/>
        </w:rPr>
        <w:t>FIRST SEMESTER 20</w:t>
      </w:r>
      <w:r w:rsidR="00071F95">
        <w:rPr>
          <w:rFonts w:ascii="Garamond" w:eastAsia="Garamond" w:hAnsi="Garamond" w:cs="Garamond"/>
        </w:rPr>
        <w:t xml:space="preserve">20 </w:t>
      </w:r>
      <w:r>
        <w:rPr>
          <w:rFonts w:ascii="Garamond" w:eastAsia="Garamond" w:hAnsi="Garamond" w:cs="Garamond"/>
        </w:rPr>
        <w:t>-</w:t>
      </w:r>
      <w:r w:rsidR="00071F95">
        <w:rPr>
          <w:rFonts w:ascii="Garamond" w:eastAsia="Garamond" w:hAnsi="Garamond" w:cs="Garamond"/>
        </w:rPr>
        <w:t xml:space="preserve"> 2021</w:t>
      </w:r>
    </w:p>
    <w:p w14:paraId="7C2E6AEC" w14:textId="77777777" w:rsidR="00F15F6C" w:rsidRDefault="00F15F6C">
      <w:pPr>
        <w:spacing w:line="276" w:lineRule="auto"/>
        <w:rPr>
          <w:rFonts w:ascii="Garamond" w:eastAsia="Garamond" w:hAnsi="Garamond" w:cs="Garamond"/>
        </w:rPr>
      </w:pPr>
    </w:p>
    <w:p w14:paraId="1BC8D693" w14:textId="77777777" w:rsidR="00F15F6C" w:rsidRDefault="00A32AD0">
      <w:pPr>
        <w:spacing w:line="276" w:lineRule="auto"/>
        <w:jc w:val="center"/>
        <w:rPr>
          <w:rFonts w:ascii="Garamond" w:eastAsia="Garamond" w:hAnsi="Garamond" w:cs="Garamond"/>
          <w:b/>
        </w:rPr>
      </w:pPr>
      <w:r>
        <w:rPr>
          <w:rFonts w:ascii="Garamond" w:eastAsia="Garamond" w:hAnsi="Garamond" w:cs="Garamond"/>
          <w:b/>
          <w:u w:val="single"/>
        </w:rPr>
        <w:t>COURSE HANDOUT PART II</w:t>
      </w:r>
    </w:p>
    <w:p w14:paraId="02DC7C2E" w14:textId="15ED92A8" w:rsidR="00F15F6C" w:rsidRDefault="008B1602">
      <w:pPr>
        <w:spacing w:line="276" w:lineRule="auto"/>
        <w:jc w:val="right"/>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sidR="006C7BDE">
        <w:rPr>
          <w:rFonts w:ascii="Garamond" w:eastAsia="Garamond" w:hAnsi="Garamond" w:cs="Garamond"/>
          <w:b/>
        </w:rPr>
        <w:t>Date: 1</w:t>
      </w:r>
      <w:r w:rsidR="00DE714F">
        <w:rPr>
          <w:rFonts w:ascii="Garamond" w:eastAsia="Garamond" w:hAnsi="Garamond" w:cs="Garamond"/>
          <w:b/>
        </w:rPr>
        <w:t>7</w:t>
      </w:r>
      <w:r w:rsidR="006C7BDE">
        <w:rPr>
          <w:rFonts w:ascii="Garamond" w:eastAsia="Garamond" w:hAnsi="Garamond" w:cs="Garamond"/>
          <w:b/>
        </w:rPr>
        <w:t>.08.2020</w:t>
      </w:r>
    </w:p>
    <w:p w14:paraId="5F949BB8" w14:textId="77777777" w:rsidR="00F15F6C" w:rsidRDefault="00A32AD0">
      <w:pPr>
        <w:pBdr>
          <w:top w:val="nil"/>
          <w:left w:val="nil"/>
          <w:bottom w:val="nil"/>
          <w:right w:val="nil"/>
          <w:between w:val="nil"/>
        </w:pBdr>
        <w:spacing w:line="276" w:lineRule="auto"/>
        <w:jc w:val="both"/>
        <w:rPr>
          <w:rFonts w:ascii="Garamond" w:eastAsia="Garamond" w:hAnsi="Garamond" w:cs="Garamond"/>
          <w:color w:val="000000"/>
        </w:rPr>
      </w:pPr>
      <w:r>
        <w:rPr>
          <w:rFonts w:ascii="Garamond" w:eastAsia="Garamond" w:hAnsi="Garamond" w:cs="Garamond"/>
          <w:color w:val="000000"/>
        </w:rPr>
        <w:t>In addition to Part-I (General Handout for all courses appended to the timetable), this portion gives further specific details regarding the course.</w:t>
      </w:r>
    </w:p>
    <w:p w14:paraId="6326C5B9" w14:textId="77777777" w:rsidR="00F15F6C" w:rsidRDefault="00F15F6C">
      <w:pPr>
        <w:pStyle w:val="Heading1"/>
        <w:numPr>
          <w:ilvl w:val="0"/>
          <w:numId w:val="1"/>
        </w:numPr>
        <w:spacing w:line="276" w:lineRule="auto"/>
        <w:rPr>
          <w:rFonts w:ascii="Garamond" w:eastAsia="Garamond" w:hAnsi="Garamond" w:cs="Garamond"/>
          <w:b w:val="0"/>
        </w:rPr>
      </w:pPr>
    </w:p>
    <w:p w14:paraId="617C3FEB" w14:textId="77777777" w:rsidR="00F15F6C" w:rsidRDefault="00A32AD0">
      <w:pPr>
        <w:pStyle w:val="Heading1"/>
        <w:numPr>
          <w:ilvl w:val="0"/>
          <w:numId w:val="1"/>
        </w:numPr>
        <w:spacing w:line="276" w:lineRule="auto"/>
        <w:rPr>
          <w:rFonts w:ascii="Garamond" w:eastAsia="Garamond" w:hAnsi="Garamond" w:cs="Garamond"/>
          <w:i/>
        </w:rPr>
      </w:pPr>
      <w:r>
        <w:rPr>
          <w:rFonts w:ascii="Garamond" w:eastAsia="Garamond" w:hAnsi="Garamond" w:cs="Garamond"/>
          <w:i/>
        </w:rPr>
        <w:t xml:space="preserve">Course No. </w:t>
      </w:r>
      <w:r>
        <w:rPr>
          <w:rFonts w:ascii="Garamond" w:eastAsia="Garamond" w:hAnsi="Garamond" w:cs="Garamond"/>
          <w:i/>
        </w:rPr>
        <w:tab/>
      </w:r>
      <w:r>
        <w:rPr>
          <w:rFonts w:ascii="Garamond" w:eastAsia="Garamond" w:hAnsi="Garamond" w:cs="Garamond"/>
        </w:rPr>
        <w:tab/>
      </w:r>
      <w:r>
        <w:rPr>
          <w:rFonts w:ascii="Garamond" w:eastAsia="Garamond" w:hAnsi="Garamond" w:cs="Garamond"/>
        </w:rPr>
        <w:tab/>
        <w:t>: ECON F214</w:t>
      </w:r>
    </w:p>
    <w:p w14:paraId="76AD01EB" w14:textId="77777777" w:rsidR="00F15F6C" w:rsidRDefault="00A32AD0">
      <w:pPr>
        <w:spacing w:line="276" w:lineRule="auto"/>
        <w:jc w:val="both"/>
        <w:rPr>
          <w:rFonts w:ascii="Garamond" w:eastAsia="Garamond" w:hAnsi="Garamond" w:cs="Garamond"/>
          <w:b/>
          <w:i/>
        </w:rPr>
      </w:pPr>
      <w:r>
        <w:rPr>
          <w:rFonts w:ascii="Garamond" w:eastAsia="Garamond" w:hAnsi="Garamond" w:cs="Garamond"/>
          <w:b/>
          <w:i/>
        </w:rPr>
        <w:t>Course Title</w:t>
      </w:r>
      <w:r>
        <w:rPr>
          <w:rFonts w:ascii="Garamond" w:eastAsia="Garamond" w:hAnsi="Garamond" w:cs="Garamond"/>
          <w:b/>
          <w:i/>
        </w:rPr>
        <w:tab/>
      </w:r>
      <w:r>
        <w:rPr>
          <w:rFonts w:ascii="Garamond" w:eastAsia="Garamond" w:hAnsi="Garamond" w:cs="Garamond"/>
        </w:rPr>
        <w:tab/>
      </w:r>
      <w:r>
        <w:rPr>
          <w:rFonts w:ascii="Garamond" w:eastAsia="Garamond" w:hAnsi="Garamond" w:cs="Garamond"/>
        </w:rPr>
        <w:tab/>
      </w:r>
      <w:r>
        <w:rPr>
          <w:rFonts w:ascii="Garamond" w:eastAsia="Garamond" w:hAnsi="Garamond" w:cs="Garamond"/>
          <w:b/>
        </w:rPr>
        <w:t>: Economic Environment of Business</w:t>
      </w:r>
    </w:p>
    <w:p w14:paraId="662F959F" w14:textId="77777777" w:rsidR="00F15F6C" w:rsidRDefault="00A32AD0">
      <w:pPr>
        <w:spacing w:line="276" w:lineRule="auto"/>
        <w:jc w:val="both"/>
        <w:rPr>
          <w:rFonts w:ascii="Garamond" w:eastAsia="Garamond" w:hAnsi="Garamond" w:cs="Garamond"/>
          <w:b/>
        </w:rPr>
      </w:pPr>
      <w:r>
        <w:rPr>
          <w:rFonts w:ascii="Garamond" w:eastAsia="Garamond" w:hAnsi="Garamond" w:cs="Garamond"/>
          <w:b/>
          <w:i/>
        </w:rPr>
        <w:t>Instructor-in-charge</w:t>
      </w:r>
      <w:r>
        <w:rPr>
          <w:rFonts w:ascii="Garamond" w:eastAsia="Garamond" w:hAnsi="Garamond" w:cs="Garamond"/>
          <w:b/>
        </w:rPr>
        <w:tab/>
      </w:r>
      <w:r>
        <w:rPr>
          <w:rFonts w:ascii="Garamond" w:eastAsia="Garamond" w:hAnsi="Garamond" w:cs="Garamond"/>
          <w:b/>
        </w:rPr>
        <w:tab/>
        <w:t xml:space="preserve">: </w:t>
      </w:r>
      <w:proofErr w:type="spellStart"/>
      <w:r>
        <w:rPr>
          <w:rFonts w:ascii="Garamond" w:eastAsia="Garamond" w:hAnsi="Garamond" w:cs="Garamond"/>
          <w:b/>
        </w:rPr>
        <w:t>Bheemeshwar</w:t>
      </w:r>
      <w:proofErr w:type="spellEnd"/>
      <w:r>
        <w:rPr>
          <w:rFonts w:ascii="Garamond" w:eastAsia="Garamond" w:hAnsi="Garamond" w:cs="Garamond"/>
          <w:b/>
        </w:rPr>
        <w:t xml:space="preserve"> Reddy A</w:t>
      </w:r>
    </w:p>
    <w:p w14:paraId="4A8BDB57" w14:textId="77777777" w:rsidR="00071F95" w:rsidRDefault="00071F95">
      <w:pPr>
        <w:spacing w:line="276" w:lineRule="auto"/>
        <w:jc w:val="both"/>
        <w:rPr>
          <w:rFonts w:ascii="Garamond" w:eastAsia="Garamond" w:hAnsi="Garamond" w:cs="Garamond"/>
          <w:b/>
        </w:rPr>
      </w:pPr>
      <w:r>
        <w:rPr>
          <w:rFonts w:ascii="Garamond" w:eastAsia="Garamond" w:hAnsi="Garamond" w:cs="Garamond"/>
          <w:b/>
        </w:rPr>
        <w:t xml:space="preserve">Instructor                             </w:t>
      </w:r>
      <w:proofErr w:type="gramStart"/>
      <w:r>
        <w:rPr>
          <w:rFonts w:ascii="Garamond" w:eastAsia="Garamond" w:hAnsi="Garamond" w:cs="Garamond"/>
          <w:b/>
        </w:rPr>
        <w:t xml:space="preserve">  :</w:t>
      </w:r>
      <w:proofErr w:type="gramEnd"/>
      <w:r>
        <w:rPr>
          <w:rFonts w:ascii="Garamond" w:eastAsia="Garamond" w:hAnsi="Garamond" w:cs="Garamond"/>
          <w:b/>
        </w:rPr>
        <w:t xml:space="preserve"> </w:t>
      </w:r>
      <w:proofErr w:type="spellStart"/>
      <w:r>
        <w:rPr>
          <w:rFonts w:ascii="Garamond" w:eastAsia="Garamond" w:hAnsi="Garamond" w:cs="Garamond"/>
          <w:b/>
        </w:rPr>
        <w:t>Bheemshwar</w:t>
      </w:r>
      <w:proofErr w:type="spellEnd"/>
      <w:r>
        <w:rPr>
          <w:rFonts w:ascii="Garamond" w:eastAsia="Garamond" w:hAnsi="Garamond" w:cs="Garamond"/>
          <w:b/>
        </w:rPr>
        <w:t xml:space="preserve"> Reddy A, A </w:t>
      </w:r>
      <w:proofErr w:type="spellStart"/>
      <w:r>
        <w:rPr>
          <w:rFonts w:ascii="Garamond" w:eastAsia="Garamond" w:hAnsi="Garamond" w:cs="Garamond"/>
          <w:b/>
        </w:rPr>
        <w:t>Janiso</w:t>
      </w:r>
      <w:proofErr w:type="spellEnd"/>
    </w:p>
    <w:p w14:paraId="726A65A1" w14:textId="77777777" w:rsidR="00F15F6C" w:rsidRDefault="00F15F6C">
      <w:pPr>
        <w:spacing w:line="276" w:lineRule="auto"/>
        <w:jc w:val="both"/>
        <w:rPr>
          <w:rFonts w:ascii="Garamond" w:eastAsia="Garamond" w:hAnsi="Garamond" w:cs="Garamond"/>
          <w:b/>
        </w:rPr>
      </w:pPr>
    </w:p>
    <w:p w14:paraId="76C9C733" w14:textId="77777777" w:rsidR="00F15F6C" w:rsidRDefault="00A32AD0">
      <w:pPr>
        <w:spacing w:line="276" w:lineRule="auto"/>
        <w:jc w:val="both"/>
        <w:rPr>
          <w:rFonts w:ascii="Garamond" w:eastAsia="Garamond" w:hAnsi="Garamond" w:cs="Garamond"/>
        </w:rPr>
      </w:pPr>
      <w:r>
        <w:rPr>
          <w:rFonts w:ascii="Garamond" w:eastAsia="Garamond" w:hAnsi="Garamond" w:cs="Garamond"/>
          <w:b/>
        </w:rPr>
        <w:t>1. Scope and Objective:</w:t>
      </w:r>
    </w:p>
    <w:p w14:paraId="35EBD727" w14:textId="77777777" w:rsidR="00F15F6C" w:rsidRDefault="00A32AD0">
      <w:pPr>
        <w:spacing w:line="276" w:lineRule="auto"/>
        <w:jc w:val="both"/>
        <w:rPr>
          <w:rFonts w:ascii="Garamond" w:eastAsia="Garamond" w:hAnsi="Garamond" w:cs="Garamond"/>
        </w:rPr>
      </w:pPr>
      <w:r>
        <w:rPr>
          <w:rFonts w:ascii="Garamond" w:eastAsia="Garamond" w:hAnsi="Garamond" w:cs="Garamond"/>
        </w:rPr>
        <w:t xml:space="preserve">Firms operate in the prevailing macroeconomic environment. In the contemporary globalized economic world, both domestic as well as global economic conditions impact profitability of individual firms. Hence, the strategic decision making on the part of individual firms require a thorough understanding of the challenges posed by external economic environment. </w:t>
      </w:r>
    </w:p>
    <w:p w14:paraId="33A9D51A" w14:textId="77777777" w:rsidR="00F15F6C" w:rsidRDefault="00F15F6C">
      <w:pPr>
        <w:spacing w:line="276" w:lineRule="auto"/>
        <w:jc w:val="both"/>
        <w:rPr>
          <w:rFonts w:ascii="Garamond" w:eastAsia="Garamond" w:hAnsi="Garamond" w:cs="Garamond"/>
        </w:rPr>
      </w:pPr>
    </w:p>
    <w:p w14:paraId="1561096F" w14:textId="77777777" w:rsidR="00F15F6C" w:rsidRDefault="00A32AD0">
      <w:pPr>
        <w:spacing w:line="276" w:lineRule="auto"/>
        <w:jc w:val="both"/>
        <w:rPr>
          <w:rFonts w:ascii="Garamond" w:eastAsia="Garamond" w:hAnsi="Garamond" w:cs="Garamond"/>
        </w:rPr>
      </w:pPr>
      <w:r>
        <w:rPr>
          <w:rFonts w:ascii="Garamond" w:eastAsia="Garamond" w:hAnsi="Garamond" w:cs="Garamond"/>
        </w:rPr>
        <w:t>The main objective of this course is to explore the economic factors which are external to and beyond the control of individual business enterprises and their managements, with particular focus on the Indian context. Thus, the course aims to:</w:t>
      </w:r>
    </w:p>
    <w:p w14:paraId="46B3A9A3" w14:textId="77777777" w:rsidR="00F15F6C" w:rsidRDefault="00A32AD0">
      <w:pPr>
        <w:spacing w:line="276" w:lineRule="auto"/>
        <w:jc w:val="both"/>
        <w:rPr>
          <w:rFonts w:ascii="Garamond" w:eastAsia="Garamond" w:hAnsi="Garamond" w:cs="Garamond"/>
        </w:rPr>
      </w:pPr>
      <w:r>
        <w:rPr>
          <w:rFonts w:ascii="Garamond" w:eastAsia="Garamond" w:hAnsi="Garamond" w:cs="Garamond"/>
        </w:rPr>
        <w:t>(1) Create familiarity with economic environment concepts and indicators, economic policies and economic regulation</w:t>
      </w:r>
    </w:p>
    <w:p w14:paraId="757FA289" w14:textId="77777777" w:rsidR="00F15F6C" w:rsidRDefault="00A32AD0">
      <w:pPr>
        <w:spacing w:line="276" w:lineRule="auto"/>
        <w:jc w:val="both"/>
        <w:rPr>
          <w:rFonts w:ascii="Garamond" w:eastAsia="Garamond" w:hAnsi="Garamond" w:cs="Garamond"/>
        </w:rPr>
      </w:pPr>
      <w:r>
        <w:rPr>
          <w:rFonts w:ascii="Garamond" w:eastAsia="Garamond" w:hAnsi="Garamond" w:cs="Garamond"/>
        </w:rPr>
        <w:t xml:space="preserve"> (2) Evolve an ability to analyze and anticipate changes in economic environment and, </w:t>
      </w:r>
    </w:p>
    <w:p w14:paraId="3C8B572F" w14:textId="77777777" w:rsidR="00F15F6C" w:rsidRDefault="00A32AD0">
      <w:pPr>
        <w:spacing w:line="276" w:lineRule="auto"/>
        <w:jc w:val="both"/>
        <w:rPr>
          <w:rFonts w:ascii="Garamond" w:eastAsia="Garamond" w:hAnsi="Garamond" w:cs="Garamond"/>
        </w:rPr>
      </w:pPr>
      <w:r>
        <w:rPr>
          <w:rFonts w:ascii="Garamond" w:eastAsia="Garamond" w:hAnsi="Garamond" w:cs="Garamond"/>
        </w:rPr>
        <w:t>(3) Enable students to take more effective business decisions by being responsive to the external economic environment.</w:t>
      </w:r>
    </w:p>
    <w:p w14:paraId="489C71D4" w14:textId="77777777" w:rsidR="00F15F6C" w:rsidRDefault="00F15F6C">
      <w:pPr>
        <w:spacing w:line="276" w:lineRule="auto"/>
        <w:jc w:val="both"/>
        <w:rPr>
          <w:rFonts w:ascii="Garamond" w:eastAsia="Garamond" w:hAnsi="Garamond" w:cs="Garamond"/>
        </w:rPr>
      </w:pPr>
    </w:p>
    <w:p w14:paraId="34C79DFE" w14:textId="77777777" w:rsidR="00F15F6C" w:rsidRDefault="00A32AD0">
      <w:pPr>
        <w:spacing w:line="276" w:lineRule="auto"/>
        <w:jc w:val="both"/>
        <w:rPr>
          <w:rFonts w:ascii="Garamond" w:eastAsia="Garamond" w:hAnsi="Garamond" w:cs="Garamond"/>
          <w:b/>
        </w:rPr>
      </w:pPr>
      <w:r>
        <w:rPr>
          <w:rFonts w:ascii="Garamond" w:eastAsia="Garamond" w:hAnsi="Garamond" w:cs="Garamond"/>
          <w:b/>
        </w:rPr>
        <w:t>2. Text Book (TB):</w:t>
      </w:r>
    </w:p>
    <w:p w14:paraId="6904FA27" w14:textId="77777777" w:rsidR="00F15F6C" w:rsidRDefault="00A32AD0">
      <w:pPr>
        <w:spacing w:line="276" w:lineRule="auto"/>
        <w:ind w:left="720"/>
        <w:jc w:val="both"/>
        <w:rPr>
          <w:rFonts w:ascii="Garamond" w:eastAsia="Garamond" w:hAnsi="Garamond" w:cs="Garamond"/>
        </w:rPr>
      </w:pPr>
      <w:proofErr w:type="spellStart"/>
      <w:r>
        <w:rPr>
          <w:rFonts w:ascii="Garamond" w:eastAsia="Garamond" w:hAnsi="Garamond" w:cs="Garamond"/>
          <w:b/>
        </w:rPr>
        <w:t>Shayamal</w:t>
      </w:r>
      <w:proofErr w:type="spellEnd"/>
      <w:r>
        <w:rPr>
          <w:rFonts w:ascii="Garamond" w:eastAsia="Garamond" w:hAnsi="Garamond" w:cs="Garamond"/>
          <w:b/>
        </w:rPr>
        <w:t xml:space="preserve"> Roy</w:t>
      </w:r>
      <w:r>
        <w:rPr>
          <w:rFonts w:ascii="Garamond" w:eastAsia="Garamond" w:hAnsi="Garamond" w:cs="Garamond"/>
        </w:rPr>
        <w:t xml:space="preserve"> “</w:t>
      </w:r>
      <w:r>
        <w:rPr>
          <w:rFonts w:ascii="Garamond" w:eastAsia="Garamond" w:hAnsi="Garamond" w:cs="Garamond"/>
          <w:b/>
          <w:i/>
        </w:rPr>
        <w:t>Macroeconomic Policy Environment: An Analytical Guide for Managers</w:t>
      </w:r>
      <w:r>
        <w:rPr>
          <w:rFonts w:ascii="Garamond" w:eastAsia="Garamond" w:hAnsi="Garamond" w:cs="Garamond"/>
        </w:rPr>
        <w:t>”, Tata</w:t>
      </w:r>
      <w:r>
        <w:rPr>
          <w:rFonts w:ascii="Garamond" w:eastAsia="Garamond" w:hAnsi="Garamond" w:cs="Garamond"/>
          <w:i/>
        </w:rPr>
        <w:t xml:space="preserve"> McGraw Hill Education Private Limited, 2nd edition.</w:t>
      </w:r>
    </w:p>
    <w:p w14:paraId="7EFDA50C" w14:textId="77777777" w:rsidR="00F15F6C" w:rsidRDefault="00F15F6C">
      <w:pPr>
        <w:spacing w:line="276" w:lineRule="auto"/>
        <w:jc w:val="both"/>
        <w:rPr>
          <w:rFonts w:ascii="Garamond" w:eastAsia="Garamond" w:hAnsi="Garamond" w:cs="Garamond"/>
          <w:b/>
        </w:rPr>
      </w:pPr>
    </w:p>
    <w:p w14:paraId="63B1B95D" w14:textId="77777777" w:rsidR="00F15F6C" w:rsidRDefault="00A32AD0">
      <w:pPr>
        <w:spacing w:line="276" w:lineRule="auto"/>
        <w:jc w:val="both"/>
        <w:rPr>
          <w:rFonts w:ascii="Garamond" w:eastAsia="Garamond" w:hAnsi="Garamond" w:cs="Garamond"/>
          <w:b/>
        </w:rPr>
      </w:pPr>
      <w:r>
        <w:rPr>
          <w:rFonts w:ascii="Garamond" w:eastAsia="Garamond" w:hAnsi="Garamond" w:cs="Garamond"/>
          <w:b/>
        </w:rPr>
        <w:t>3. Reference Books:</w:t>
      </w:r>
    </w:p>
    <w:p w14:paraId="3421164D" w14:textId="77777777" w:rsidR="00F15F6C" w:rsidRDefault="00A32AD0">
      <w:pPr>
        <w:spacing w:line="276" w:lineRule="auto"/>
        <w:ind w:left="720"/>
        <w:jc w:val="both"/>
        <w:rPr>
          <w:rFonts w:ascii="Garamond" w:eastAsia="Garamond" w:hAnsi="Garamond" w:cs="Garamond"/>
          <w:b/>
        </w:rPr>
      </w:pPr>
      <w:r>
        <w:rPr>
          <w:rFonts w:ascii="Garamond" w:eastAsia="Garamond" w:hAnsi="Garamond" w:cs="Garamond"/>
          <w:b/>
        </w:rPr>
        <w:t>R1:</w:t>
      </w:r>
      <w:r>
        <w:rPr>
          <w:rFonts w:ascii="Garamond" w:eastAsia="Garamond" w:hAnsi="Garamond" w:cs="Garamond"/>
        </w:rPr>
        <w:t xml:space="preserve"> Saleem, Shaikh., Business Environment</w:t>
      </w:r>
      <w:r>
        <w:rPr>
          <w:rFonts w:ascii="Garamond" w:eastAsia="Garamond" w:hAnsi="Garamond" w:cs="Garamond"/>
          <w:i/>
        </w:rPr>
        <w:t>, Pearson Publishers</w:t>
      </w:r>
      <w:r>
        <w:rPr>
          <w:rFonts w:ascii="Garamond" w:eastAsia="Garamond" w:hAnsi="Garamond" w:cs="Garamond"/>
        </w:rPr>
        <w:t xml:space="preserve">, </w:t>
      </w:r>
      <w:r>
        <w:rPr>
          <w:rFonts w:ascii="Garamond" w:eastAsia="Garamond" w:hAnsi="Garamond" w:cs="Garamond"/>
          <w:i/>
        </w:rPr>
        <w:t>India, 2</w:t>
      </w:r>
      <w:r>
        <w:rPr>
          <w:rFonts w:ascii="Garamond" w:eastAsia="Garamond" w:hAnsi="Garamond" w:cs="Garamond"/>
          <w:i/>
          <w:vertAlign w:val="superscript"/>
        </w:rPr>
        <w:t>nd</w:t>
      </w:r>
      <w:r>
        <w:rPr>
          <w:rFonts w:ascii="Garamond" w:eastAsia="Garamond" w:hAnsi="Garamond" w:cs="Garamond"/>
          <w:i/>
        </w:rPr>
        <w:t xml:space="preserve"> Edition 2010.</w:t>
      </w:r>
    </w:p>
    <w:p w14:paraId="746168ED" w14:textId="77777777" w:rsidR="00F15F6C" w:rsidRDefault="00F15F6C">
      <w:pPr>
        <w:spacing w:line="276" w:lineRule="auto"/>
        <w:jc w:val="both"/>
        <w:rPr>
          <w:rFonts w:ascii="Garamond" w:eastAsia="Garamond" w:hAnsi="Garamond" w:cs="Garamond"/>
          <w:b/>
        </w:rPr>
      </w:pPr>
      <w:bookmarkStart w:id="0" w:name="_gjdgxs" w:colFirst="0" w:colLast="0"/>
      <w:bookmarkEnd w:id="0"/>
    </w:p>
    <w:p w14:paraId="58034DF2" w14:textId="77777777" w:rsidR="00F15F6C" w:rsidRDefault="00F15F6C">
      <w:pPr>
        <w:spacing w:line="276" w:lineRule="auto"/>
        <w:ind w:left="720"/>
        <w:jc w:val="both"/>
        <w:rPr>
          <w:rFonts w:ascii="Garamond" w:eastAsia="Garamond" w:hAnsi="Garamond" w:cs="Garamond"/>
        </w:rPr>
      </w:pPr>
    </w:p>
    <w:p w14:paraId="11D234E1" w14:textId="77777777" w:rsidR="00F15F6C" w:rsidRDefault="00A32AD0">
      <w:pPr>
        <w:spacing w:line="276" w:lineRule="auto"/>
        <w:ind w:left="720"/>
        <w:jc w:val="both"/>
        <w:rPr>
          <w:rFonts w:ascii="Garamond" w:eastAsia="Garamond" w:hAnsi="Garamond" w:cs="Garamond"/>
        </w:rPr>
      </w:pPr>
      <w:r>
        <w:rPr>
          <w:rFonts w:ascii="Garamond" w:eastAsia="Garamond" w:hAnsi="Garamond" w:cs="Garamond"/>
          <w:b/>
        </w:rPr>
        <w:lastRenderedPageBreak/>
        <w:t>R2:</w:t>
      </w:r>
      <w:r>
        <w:rPr>
          <w:rFonts w:ascii="Garamond" w:eastAsia="Garamond" w:hAnsi="Garamond" w:cs="Garamond"/>
        </w:rPr>
        <w:t xml:space="preserve"> </w:t>
      </w:r>
      <w:proofErr w:type="spellStart"/>
      <w:r>
        <w:rPr>
          <w:rFonts w:ascii="Garamond" w:eastAsia="Garamond" w:hAnsi="Garamond" w:cs="Garamond"/>
        </w:rPr>
        <w:t>Nilanjan</w:t>
      </w:r>
      <w:proofErr w:type="spellEnd"/>
      <w:r>
        <w:rPr>
          <w:rFonts w:ascii="Garamond" w:eastAsia="Garamond" w:hAnsi="Garamond" w:cs="Garamond"/>
        </w:rPr>
        <w:t xml:space="preserve"> </w:t>
      </w:r>
      <w:proofErr w:type="spellStart"/>
      <w:r>
        <w:rPr>
          <w:rFonts w:ascii="Garamond" w:eastAsia="Garamond" w:hAnsi="Garamond" w:cs="Garamond"/>
        </w:rPr>
        <w:t>Banik</w:t>
      </w:r>
      <w:proofErr w:type="spellEnd"/>
      <w:r>
        <w:rPr>
          <w:rFonts w:ascii="Garamond" w:eastAsia="Garamond" w:hAnsi="Garamond" w:cs="Garamond"/>
        </w:rPr>
        <w:t xml:space="preserve">, “The Indian Economy: A Macroeconomic Perspective”, </w:t>
      </w:r>
      <w:r>
        <w:rPr>
          <w:rFonts w:ascii="Garamond" w:eastAsia="Garamond" w:hAnsi="Garamond" w:cs="Garamond"/>
          <w:i/>
        </w:rPr>
        <w:t>SAGE Publication India Private limited</w:t>
      </w:r>
      <w:r>
        <w:rPr>
          <w:rFonts w:ascii="Garamond" w:eastAsia="Garamond" w:hAnsi="Garamond" w:cs="Garamond"/>
        </w:rPr>
        <w:t xml:space="preserve">. </w:t>
      </w:r>
    </w:p>
    <w:p w14:paraId="484347CC" w14:textId="77777777" w:rsidR="00F15F6C" w:rsidRDefault="00A32AD0">
      <w:pPr>
        <w:spacing w:line="276" w:lineRule="auto"/>
        <w:ind w:left="720"/>
        <w:jc w:val="both"/>
        <w:rPr>
          <w:rFonts w:ascii="Garamond" w:eastAsia="Garamond" w:hAnsi="Garamond" w:cs="Garamond"/>
        </w:rPr>
      </w:pPr>
      <w:r>
        <w:rPr>
          <w:rFonts w:ascii="Garamond" w:eastAsia="Garamond" w:hAnsi="Garamond" w:cs="Garamond"/>
          <w:b/>
        </w:rPr>
        <w:t>R3:</w:t>
      </w:r>
      <w:r>
        <w:rPr>
          <w:rFonts w:ascii="Garamond" w:eastAsia="Garamond" w:hAnsi="Garamond" w:cs="Garamond"/>
        </w:rPr>
        <w:t xml:space="preserve"> Satish Y. </w:t>
      </w:r>
      <w:proofErr w:type="spellStart"/>
      <w:r>
        <w:rPr>
          <w:rFonts w:ascii="Garamond" w:eastAsia="Garamond" w:hAnsi="Garamond" w:cs="Garamond"/>
        </w:rPr>
        <w:t>Deodhar</w:t>
      </w:r>
      <w:proofErr w:type="spellEnd"/>
      <w:r>
        <w:rPr>
          <w:rFonts w:ascii="Garamond" w:eastAsia="Garamond" w:hAnsi="Garamond" w:cs="Garamond"/>
        </w:rPr>
        <w:t xml:space="preserve">, “Day to Day Economics”, </w:t>
      </w:r>
      <w:r>
        <w:rPr>
          <w:rFonts w:ascii="Garamond" w:eastAsia="Garamond" w:hAnsi="Garamond" w:cs="Garamond"/>
          <w:i/>
        </w:rPr>
        <w:t>Random House India</w:t>
      </w:r>
    </w:p>
    <w:p w14:paraId="58262F74" w14:textId="77777777" w:rsidR="00F15F6C" w:rsidRDefault="00A32AD0">
      <w:pPr>
        <w:spacing w:line="276" w:lineRule="auto"/>
        <w:ind w:left="720"/>
        <w:jc w:val="both"/>
        <w:rPr>
          <w:rFonts w:ascii="Garamond" w:eastAsia="Garamond" w:hAnsi="Garamond" w:cs="Garamond"/>
          <w:i/>
          <w:color w:val="000000"/>
        </w:rPr>
      </w:pPr>
      <w:r>
        <w:rPr>
          <w:rFonts w:ascii="Garamond" w:eastAsia="Garamond" w:hAnsi="Garamond" w:cs="Garamond"/>
          <w:b/>
        </w:rPr>
        <w:t>R4:</w:t>
      </w:r>
      <w:r>
        <w:rPr>
          <w:rFonts w:ascii="Garamond" w:eastAsia="Garamond" w:hAnsi="Garamond" w:cs="Garamond"/>
        </w:rPr>
        <w:t xml:space="preserve"> A.C. Fernando, “</w:t>
      </w:r>
      <w:r>
        <w:rPr>
          <w:rFonts w:ascii="Garamond" w:eastAsia="Garamond" w:hAnsi="Garamond" w:cs="Garamond"/>
          <w:color w:val="000000"/>
        </w:rPr>
        <w:t>Business Environment</w:t>
      </w:r>
      <w:r>
        <w:rPr>
          <w:rFonts w:ascii="Garamond" w:eastAsia="Garamond" w:hAnsi="Garamond" w:cs="Garamond"/>
          <w:b/>
          <w:color w:val="000000"/>
        </w:rPr>
        <w:t xml:space="preserve">” </w:t>
      </w:r>
      <w:r>
        <w:rPr>
          <w:rFonts w:ascii="Garamond" w:eastAsia="Garamond" w:hAnsi="Garamond" w:cs="Garamond"/>
          <w:i/>
          <w:color w:val="000000"/>
        </w:rPr>
        <w:t>Pearson Education</w:t>
      </w:r>
    </w:p>
    <w:p w14:paraId="4BF766E2" w14:textId="77777777" w:rsidR="009676B2" w:rsidRDefault="009676B2">
      <w:pPr>
        <w:spacing w:line="276" w:lineRule="auto"/>
        <w:ind w:left="720"/>
        <w:jc w:val="both"/>
        <w:rPr>
          <w:rFonts w:ascii="Garamond" w:eastAsia="Garamond" w:hAnsi="Garamond" w:cs="Garamond"/>
          <w:i/>
          <w:color w:val="000000"/>
        </w:rPr>
      </w:pPr>
      <w:r>
        <w:rPr>
          <w:rFonts w:ascii="Garamond" w:eastAsia="Garamond" w:hAnsi="Garamond" w:cs="Garamond"/>
          <w:b/>
        </w:rPr>
        <w:t xml:space="preserve">R5: </w:t>
      </w:r>
      <w:proofErr w:type="gramStart"/>
      <w:r>
        <w:rPr>
          <w:rFonts w:ascii="Garamond" w:eastAsia="Garamond" w:hAnsi="Garamond" w:cs="Garamond"/>
          <w:b/>
        </w:rPr>
        <w:t>The  core</w:t>
      </w:r>
      <w:proofErr w:type="gramEnd"/>
      <w:r>
        <w:rPr>
          <w:rFonts w:ascii="Garamond" w:eastAsia="Garamond" w:hAnsi="Garamond" w:cs="Garamond"/>
          <w:b/>
        </w:rPr>
        <w:t xml:space="preserve"> team, “</w:t>
      </w:r>
      <w:r w:rsidRPr="009676B2">
        <w:rPr>
          <w:rFonts w:ascii="Garamond" w:eastAsia="Garamond" w:hAnsi="Garamond" w:cs="Garamond"/>
          <w:b/>
        </w:rPr>
        <w:t>The Economy</w:t>
      </w:r>
      <w:r>
        <w:rPr>
          <w:rFonts w:ascii="Garamond" w:eastAsia="Garamond" w:hAnsi="Garamond" w:cs="Garamond"/>
          <w:b/>
        </w:rPr>
        <w:t xml:space="preserve">” </w:t>
      </w:r>
    </w:p>
    <w:p w14:paraId="6D32BB99" w14:textId="77777777" w:rsidR="00F15F6C" w:rsidRDefault="00F15F6C">
      <w:pPr>
        <w:spacing w:line="276" w:lineRule="auto"/>
        <w:ind w:left="720"/>
        <w:jc w:val="both"/>
        <w:rPr>
          <w:rFonts w:ascii="Garamond" w:eastAsia="Garamond" w:hAnsi="Garamond" w:cs="Garamond"/>
          <w:i/>
        </w:rPr>
      </w:pPr>
    </w:p>
    <w:p w14:paraId="4E53D212" w14:textId="77777777" w:rsidR="00F15F6C" w:rsidRDefault="00A32AD0">
      <w:pPr>
        <w:tabs>
          <w:tab w:val="left" w:pos="0"/>
          <w:tab w:val="left" w:pos="450"/>
          <w:tab w:val="left" w:pos="720"/>
        </w:tabs>
        <w:spacing w:after="240" w:line="276" w:lineRule="auto"/>
        <w:jc w:val="both"/>
        <w:rPr>
          <w:rFonts w:ascii="Garamond" w:eastAsia="Garamond" w:hAnsi="Garamond" w:cs="Garamond"/>
          <w:b/>
          <w:i/>
          <w:sz w:val="28"/>
          <w:szCs w:val="28"/>
        </w:rPr>
      </w:pPr>
      <w:r>
        <w:rPr>
          <w:rFonts w:ascii="Garamond" w:eastAsia="Garamond" w:hAnsi="Garamond" w:cs="Garamond"/>
          <w:b/>
          <w:sz w:val="28"/>
          <w:szCs w:val="28"/>
        </w:rPr>
        <w:t>Additional Reading</w:t>
      </w:r>
    </w:p>
    <w:p w14:paraId="00AECF30" w14:textId="77777777" w:rsidR="00F15F6C" w:rsidRDefault="00A32AD0">
      <w:pPr>
        <w:widowControl w:val="0"/>
        <w:numPr>
          <w:ilvl w:val="0"/>
          <w:numId w:val="2"/>
        </w:numPr>
        <w:pBdr>
          <w:top w:val="nil"/>
          <w:left w:val="nil"/>
          <w:bottom w:val="nil"/>
          <w:right w:val="nil"/>
          <w:between w:val="nil"/>
        </w:pBdr>
        <w:tabs>
          <w:tab w:val="left" w:pos="0"/>
          <w:tab w:val="left" w:pos="450"/>
          <w:tab w:val="left" w:pos="720"/>
        </w:tabs>
        <w:spacing w:line="276" w:lineRule="auto"/>
        <w:contextualSpacing/>
        <w:jc w:val="both"/>
        <w:rPr>
          <w:color w:val="000000"/>
        </w:rPr>
      </w:pPr>
      <w:r>
        <w:rPr>
          <w:rFonts w:ascii="Garamond" w:eastAsia="Garamond" w:hAnsi="Garamond" w:cs="Garamond"/>
          <w:color w:val="000000"/>
        </w:rPr>
        <w:t>Additional readings will include research papers appeared in academic journals and books. The same will be uploaded on CMS from time to time during the semester.</w:t>
      </w:r>
    </w:p>
    <w:p w14:paraId="4D4F2553" w14:textId="77777777" w:rsidR="00F15F6C" w:rsidRPr="009676B2" w:rsidRDefault="00A32AD0">
      <w:pPr>
        <w:widowControl w:val="0"/>
        <w:numPr>
          <w:ilvl w:val="0"/>
          <w:numId w:val="2"/>
        </w:numPr>
        <w:pBdr>
          <w:top w:val="nil"/>
          <w:left w:val="nil"/>
          <w:bottom w:val="nil"/>
          <w:right w:val="nil"/>
          <w:between w:val="nil"/>
        </w:pBdr>
        <w:tabs>
          <w:tab w:val="left" w:pos="0"/>
          <w:tab w:val="left" w:pos="450"/>
          <w:tab w:val="left" w:pos="720"/>
        </w:tabs>
        <w:spacing w:after="240" w:line="276" w:lineRule="auto"/>
        <w:contextualSpacing/>
        <w:jc w:val="both"/>
        <w:rPr>
          <w:color w:val="000000"/>
        </w:rPr>
      </w:pPr>
      <w:r>
        <w:rPr>
          <w:rFonts w:ascii="Garamond" w:eastAsia="Garamond" w:hAnsi="Garamond" w:cs="Garamond"/>
          <w:color w:val="000000"/>
        </w:rPr>
        <w:t xml:space="preserve"> Students are strongly advised to regularly read popular daily business newspapers such as The Economic Times, Mint, Business Line and Financial Time and popular magazines such as Economic and Political Weekly and The Economist.   </w:t>
      </w:r>
    </w:p>
    <w:p w14:paraId="7057C687" w14:textId="77777777" w:rsidR="009676B2" w:rsidRP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72682B7E"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r w:rsidRPr="009676B2">
        <w:rPr>
          <w:color w:val="000000"/>
        </w:rPr>
        <w:t>Course Plan:</w:t>
      </w:r>
    </w:p>
    <w:p w14:paraId="215963C2"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76B2" w:rsidRPr="00BA568D" w14:paraId="56B2DE4E" w14:textId="77777777" w:rsidTr="00F80828">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D54BB00" w14:textId="77777777" w:rsidR="009676B2" w:rsidRPr="00BA568D" w:rsidRDefault="009676B2" w:rsidP="00F80828">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696F1AD" w14:textId="77777777" w:rsidR="009676B2" w:rsidRPr="00BA568D" w:rsidRDefault="009676B2" w:rsidP="00F80828">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7C24B4B" w14:textId="77777777" w:rsidR="009676B2" w:rsidRPr="00BA568D" w:rsidRDefault="009676B2" w:rsidP="00F80828">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3CF6718" w14:textId="77777777" w:rsidR="009676B2" w:rsidRPr="00BA568D" w:rsidRDefault="009676B2" w:rsidP="00F80828">
            <w:pPr>
              <w:jc w:val="center"/>
              <w:rPr>
                <w:b/>
                <w:bCs/>
                <w:sz w:val="22"/>
                <w:szCs w:val="22"/>
              </w:rPr>
            </w:pPr>
            <w:r>
              <w:rPr>
                <w:b/>
                <w:bCs/>
                <w:sz w:val="22"/>
                <w:szCs w:val="22"/>
              </w:rPr>
              <w:t xml:space="preserve">Chapter in the </w:t>
            </w:r>
            <w:r w:rsidRPr="00BA568D">
              <w:rPr>
                <w:b/>
                <w:bCs/>
                <w:sz w:val="22"/>
                <w:szCs w:val="22"/>
              </w:rPr>
              <w:t>Text Book</w:t>
            </w:r>
          </w:p>
        </w:tc>
      </w:tr>
      <w:tr w:rsidR="009676B2" w:rsidRPr="00BA568D" w14:paraId="4618535F"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074754" w14:textId="77777777" w:rsidR="009676B2" w:rsidRPr="00BA568D" w:rsidRDefault="009676B2" w:rsidP="00F80828">
            <w:pPr>
              <w:jc w:val="cente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vAlign w:val="center"/>
          </w:tcPr>
          <w:p w14:paraId="5D48380E" w14:textId="77777777" w:rsidR="009676B2" w:rsidRPr="00BA568D" w:rsidRDefault="009676B2" w:rsidP="00F80828">
            <w:pPr>
              <w:jc w:val="center"/>
              <w:rPr>
                <w:sz w:val="22"/>
                <w:szCs w:val="22"/>
              </w:rPr>
            </w:pPr>
            <w:r w:rsidRPr="009676B2">
              <w:rPr>
                <w:sz w:val="22"/>
                <w:szCs w:val="22"/>
              </w:rPr>
              <w:t xml:space="preserve">On completion of the module, students will be able to learn the concept of business environment and how macroeconomic environment affects </w:t>
            </w:r>
            <w:proofErr w:type="spellStart"/>
            <w:r w:rsidRPr="009676B2">
              <w:rPr>
                <w:sz w:val="22"/>
                <w:szCs w:val="22"/>
              </w:rPr>
              <w:t>behaviour</w:t>
            </w:r>
            <w:proofErr w:type="spellEnd"/>
            <w:r w:rsidRPr="009676B2">
              <w:rPr>
                <w:sz w:val="22"/>
                <w:szCs w:val="22"/>
              </w:rPr>
              <w:t xml:space="preserve"> and performance of the firms in an economy. Students will also learn some of the features of modern business in the context of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369B696C" w14:textId="77777777" w:rsidR="009676B2" w:rsidRDefault="009676B2" w:rsidP="009676B2">
            <w:pPr>
              <w:spacing w:line="276" w:lineRule="auto"/>
              <w:jc w:val="both"/>
              <w:rPr>
                <w:rFonts w:ascii="Garamond" w:eastAsia="Garamond" w:hAnsi="Garamond" w:cs="Garamond"/>
              </w:rPr>
            </w:pPr>
            <w:r>
              <w:rPr>
                <w:rFonts w:ascii="Garamond" w:eastAsia="Garamond" w:hAnsi="Garamond" w:cs="Garamond"/>
                <w:b/>
              </w:rPr>
              <w:t>Business and its Environment</w:t>
            </w:r>
            <w:r>
              <w:rPr>
                <w:rFonts w:ascii="Garamond" w:eastAsia="Garamond" w:hAnsi="Garamond" w:cs="Garamond"/>
              </w:rPr>
              <w:t>:</w:t>
            </w:r>
          </w:p>
          <w:p w14:paraId="03282323" w14:textId="77777777" w:rsidR="009676B2" w:rsidRDefault="009676B2" w:rsidP="009676B2">
            <w:pPr>
              <w:spacing w:line="276" w:lineRule="auto"/>
              <w:jc w:val="both"/>
              <w:rPr>
                <w:rFonts w:ascii="Garamond" w:eastAsia="Garamond" w:hAnsi="Garamond" w:cs="Garamond"/>
                <w:b/>
              </w:rPr>
            </w:pPr>
            <w:r>
              <w:rPr>
                <w:rFonts w:ascii="Garamond" w:eastAsia="Garamond" w:hAnsi="Garamond" w:cs="Garamond"/>
              </w:rPr>
              <w:t>Meaning, Characteristics and Objectives, Features of Modern Business, Economic and Financial Environment, Non-economic Environment</w:t>
            </w:r>
          </w:p>
          <w:p w14:paraId="35D8B375" w14:textId="77777777" w:rsidR="009676B2" w:rsidRPr="00BA568D" w:rsidRDefault="009676B2" w:rsidP="00F8082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5695CC2" w14:textId="77777777" w:rsidR="009676B2" w:rsidRPr="00BA568D" w:rsidRDefault="009676B2" w:rsidP="00F80828">
            <w:pPr>
              <w:jc w:val="center"/>
              <w:rPr>
                <w:sz w:val="22"/>
                <w:szCs w:val="22"/>
              </w:rPr>
            </w:pPr>
            <w:r>
              <w:rPr>
                <w:rFonts w:ascii="Garamond" w:eastAsia="Garamond" w:hAnsi="Garamond" w:cs="Garamond"/>
              </w:rPr>
              <w:t>Chapter 1 (</w:t>
            </w:r>
            <w:r>
              <w:rPr>
                <w:rFonts w:ascii="Garamond" w:eastAsia="Garamond" w:hAnsi="Garamond" w:cs="Garamond"/>
                <w:b/>
              </w:rPr>
              <w:t>TB</w:t>
            </w:r>
            <w:r>
              <w:rPr>
                <w:rFonts w:ascii="Garamond" w:eastAsia="Garamond" w:hAnsi="Garamond" w:cs="Garamond"/>
              </w:rPr>
              <w:t xml:space="preserve">) and additional readings  </w:t>
            </w:r>
          </w:p>
        </w:tc>
      </w:tr>
      <w:tr w:rsidR="009676B2" w:rsidRPr="00BA568D" w14:paraId="7EB3CDD4"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E4335A2" w14:textId="77777777" w:rsidR="009676B2" w:rsidRPr="00BA568D" w:rsidRDefault="009676B2" w:rsidP="00F80828">
            <w:pPr>
              <w:jc w:val="center"/>
              <w:rPr>
                <w:sz w:val="22"/>
                <w:szCs w:val="22"/>
              </w:rPr>
            </w:pPr>
            <w:r>
              <w:rPr>
                <w:sz w:val="22"/>
                <w:szCs w:val="22"/>
              </w:rPr>
              <w:t>3-18</w:t>
            </w:r>
          </w:p>
        </w:tc>
        <w:tc>
          <w:tcPr>
            <w:tcW w:w="2340" w:type="dxa"/>
            <w:tcBorders>
              <w:top w:val="single" w:sz="6" w:space="0" w:color="000000"/>
              <w:left w:val="single" w:sz="6" w:space="0" w:color="000000"/>
              <w:bottom w:val="single" w:sz="6" w:space="0" w:color="000000"/>
              <w:right w:val="single" w:sz="6" w:space="0" w:color="000000"/>
            </w:tcBorders>
            <w:vAlign w:val="center"/>
          </w:tcPr>
          <w:p w14:paraId="636D64B0" w14:textId="77777777" w:rsidR="009676B2" w:rsidRDefault="009676B2" w:rsidP="00F80828">
            <w:pPr>
              <w:jc w:val="center"/>
              <w:rPr>
                <w:rFonts w:ascii="Garamond" w:eastAsia="Garamond" w:hAnsi="Garamond" w:cs="Garamond"/>
              </w:rPr>
            </w:pPr>
            <w:r>
              <w:rPr>
                <w:rFonts w:ascii="Garamond" w:eastAsia="Garamond" w:hAnsi="Garamond" w:cs="Garamond"/>
              </w:rPr>
              <w:t xml:space="preserve">Students will learn the different measures that are useful to evaluate macroeconomic health of an economy.  The students will be able to apply these techniques to </w:t>
            </w:r>
            <w:proofErr w:type="spellStart"/>
            <w:r>
              <w:rPr>
                <w:rFonts w:ascii="Garamond" w:eastAsia="Garamond" w:hAnsi="Garamond" w:cs="Garamond"/>
              </w:rPr>
              <w:t>analyse</w:t>
            </w:r>
            <w:proofErr w:type="spellEnd"/>
            <w:r>
              <w:rPr>
                <w:rFonts w:ascii="Garamond" w:eastAsia="Garamond" w:hAnsi="Garamond" w:cs="Garamond"/>
              </w:rPr>
              <w:t xml:space="preserve"> business environment in the country. For </w:t>
            </w:r>
            <w:r>
              <w:rPr>
                <w:rFonts w:ascii="Garamond" w:eastAsia="Garamond" w:hAnsi="Garamond" w:cs="Garamond"/>
              </w:rPr>
              <w:lastRenderedPageBreak/>
              <w:t xml:space="preserve">example, students will be able to </w:t>
            </w:r>
            <w:proofErr w:type="spellStart"/>
            <w:r>
              <w:rPr>
                <w:rFonts w:ascii="Garamond" w:eastAsia="Garamond" w:hAnsi="Garamond" w:cs="Garamond"/>
              </w:rPr>
              <w:t>analyse</w:t>
            </w:r>
            <w:proofErr w:type="spellEnd"/>
            <w:r>
              <w:rPr>
                <w:rFonts w:ascii="Garamond" w:eastAsia="Garamond" w:hAnsi="Garamond" w:cs="Garamond"/>
              </w:rPr>
              <w:t xml:space="preserve"> how rise in inflation can affect the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76BC8FCC" w14:textId="77777777" w:rsidR="009676B2" w:rsidRDefault="00E33DF1" w:rsidP="009676B2">
            <w:pPr>
              <w:spacing w:line="276" w:lineRule="auto"/>
              <w:jc w:val="both"/>
              <w:rPr>
                <w:rFonts w:ascii="Garamond" w:eastAsia="Garamond" w:hAnsi="Garamond" w:cs="Garamond"/>
                <w:b/>
              </w:rPr>
            </w:pPr>
            <w:r>
              <w:rPr>
                <w:rFonts w:ascii="Garamond" w:eastAsia="Garamond" w:hAnsi="Garamond" w:cs="Garamond"/>
                <w:b/>
              </w:rPr>
              <w:lastRenderedPageBreak/>
              <w:t xml:space="preserve">Basic Parameters of Indian Economy </w:t>
            </w:r>
            <w:r w:rsidR="009676B2">
              <w:rPr>
                <w:rFonts w:ascii="Garamond" w:eastAsia="Garamond" w:hAnsi="Garamond" w:cs="Garamond"/>
              </w:rPr>
              <w:t>National Income-Concepts and Measurement, Economic Growth, Income Distribution and Inequality, Inflation, Population, Poverty, Unemployment, Human Development</w:t>
            </w:r>
            <w:r w:rsidR="009676B2">
              <w:rPr>
                <w:rFonts w:ascii="Garamond" w:eastAsia="Garamond" w:hAnsi="Garamond" w:cs="Garamond"/>
                <w:b/>
              </w:rPr>
              <w:t xml:space="preserve"> </w:t>
            </w:r>
          </w:p>
          <w:p w14:paraId="3AE57979" w14:textId="77777777" w:rsidR="009676B2" w:rsidRDefault="009676B2" w:rsidP="00F80828">
            <w:pPr>
              <w:tabs>
                <w:tab w:val="left" w:pos="360"/>
              </w:tabs>
              <w:jc w:val="both"/>
              <w:rPr>
                <w:rFonts w:ascii="Garamond" w:eastAsia="Garamond" w:hAnsi="Garamond" w:cs="Garamond"/>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071F43F" w14:textId="77777777" w:rsidR="009676B2" w:rsidRPr="00BA568D" w:rsidRDefault="009676B2" w:rsidP="00F80828">
            <w:pPr>
              <w:jc w:val="center"/>
              <w:rPr>
                <w:sz w:val="22"/>
                <w:szCs w:val="22"/>
              </w:rPr>
            </w:pPr>
            <w:r>
              <w:rPr>
                <w:rFonts w:ascii="Garamond" w:eastAsia="Garamond" w:hAnsi="Garamond" w:cs="Garamond"/>
              </w:rPr>
              <w:t>Ch. 2 &amp; 3 (</w:t>
            </w:r>
            <w:r>
              <w:rPr>
                <w:rFonts w:ascii="Garamond" w:eastAsia="Garamond" w:hAnsi="Garamond" w:cs="Garamond"/>
                <w:b/>
              </w:rPr>
              <w:t>TB</w:t>
            </w:r>
            <w:r>
              <w:rPr>
                <w:rFonts w:ascii="Garamond" w:eastAsia="Garamond" w:hAnsi="Garamond" w:cs="Garamond"/>
              </w:rPr>
              <w:t>), Ch. 1, 2 &amp; 4 (R2) and additional readings</w:t>
            </w:r>
          </w:p>
        </w:tc>
      </w:tr>
      <w:tr w:rsidR="009676B2" w:rsidRPr="00BA568D" w14:paraId="7209CBF8"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2EC4004" w14:textId="77777777" w:rsidR="009676B2" w:rsidRDefault="00E33DF1" w:rsidP="00F80828">
            <w:pPr>
              <w:jc w:val="center"/>
              <w:rPr>
                <w:sz w:val="22"/>
                <w:szCs w:val="22"/>
              </w:rPr>
            </w:pPr>
            <w:r>
              <w:rPr>
                <w:sz w:val="22"/>
                <w:szCs w:val="22"/>
              </w:rPr>
              <w:t>19-21</w:t>
            </w:r>
          </w:p>
        </w:tc>
        <w:tc>
          <w:tcPr>
            <w:tcW w:w="2340" w:type="dxa"/>
            <w:tcBorders>
              <w:top w:val="single" w:sz="6" w:space="0" w:color="000000"/>
              <w:left w:val="single" w:sz="6" w:space="0" w:color="000000"/>
              <w:bottom w:val="single" w:sz="6" w:space="0" w:color="000000"/>
              <w:right w:val="single" w:sz="6" w:space="0" w:color="000000"/>
            </w:tcBorders>
            <w:vAlign w:val="center"/>
          </w:tcPr>
          <w:p w14:paraId="4C60B8FC" w14:textId="77777777" w:rsidR="009676B2" w:rsidRDefault="00E33DF1" w:rsidP="00F80828">
            <w:pPr>
              <w:tabs>
                <w:tab w:val="left" w:pos="360"/>
              </w:tabs>
              <w:jc w:val="both"/>
              <w:rPr>
                <w:rFonts w:ascii="Garamond" w:eastAsia="Garamond" w:hAnsi="Garamond" w:cs="Garamond"/>
              </w:rPr>
            </w:pPr>
            <w:r>
              <w:rPr>
                <w:rFonts w:ascii="Garamond" w:eastAsia="Garamond" w:hAnsi="Garamond" w:cs="Garamond"/>
              </w:rPr>
              <w:t xml:space="preserve">On completing of the module, students will be able to learn economic institutions that </w:t>
            </w:r>
            <w:proofErr w:type="spellStart"/>
            <w:r>
              <w:rPr>
                <w:rFonts w:ascii="Garamond" w:eastAsia="Garamond" w:hAnsi="Garamond" w:cs="Garamond"/>
              </w:rPr>
              <w:t>characterise</w:t>
            </w:r>
            <w:proofErr w:type="spellEnd"/>
            <w:r>
              <w:rPr>
                <w:rFonts w:ascii="Garamond" w:eastAsia="Garamond" w:hAnsi="Garamond" w:cs="Garamond"/>
              </w:rPr>
              <w:t xml:space="preserve"> different forms of economic systems and how these institutions shape the functioning of a business firms in each form of these economic systems. Students will also learn about the specific economic system that describes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35A58C17" w14:textId="77777777" w:rsidR="00E33DF1" w:rsidRDefault="00E33DF1" w:rsidP="00E33DF1">
            <w:pPr>
              <w:spacing w:line="276" w:lineRule="auto"/>
              <w:jc w:val="both"/>
              <w:rPr>
                <w:rFonts w:ascii="Garamond" w:eastAsia="Garamond" w:hAnsi="Garamond" w:cs="Garamond"/>
                <w:b/>
              </w:rPr>
            </w:pPr>
            <w:r>
              <w:rPr>
                <w:rFonts w:ascii="Garamond" w:eastAsia="Garamond" w:hAnsi="Garamond" w:cs="Garamond"/>
                <w:b/>
              </w:rPr>
              <w:t>Economic Systems and Business Environment</w:t>
            </w:r>
          </w:p>
          <w:p w14:paraId="2AFC2174" w14:textId="77777777" w:rsidR="009676B2" w:rsidRDefault="00E33DF1" w:rsidP="00F80828">
            <w:pPr>
              <w:tabs>
                <w:tab w:val="left" w:pos="360"/>
              </w:tabs>
              <w:jc w:val="both"/>
              <w:rPr>
                <w:rFonts w:ascii="Garamond" w:eastAsia="Garamond" w:hAnsi="Garamond" w:cs="Garamond"/>
                <w:b/>
              </w:rPr>
            </w:pPr>
            <w:r>
              <w:rPr>
                <w:rFonts w:ascii="Garamond" w:eastAsia="Garamond" w:hAnsi="Garamond" w:cs="Garamond"/>
              </w:rPr>
              <w:t>Capitalism, Socialism, Mixed Economy, Indian economy</w:t>
            </w:r>
          </w:p>
        </w:tc>
        <w:tc>
          <w:tcPr>
            <w:tcW w:w="1530" w:type="dxa"/>
            <w:tcBorders>
              <w:top w:val="single" w:sz="6" w:space="0" w:color="000000"/>
              <w:left w:val="single" w:sz="6" w:space="0" w:color="000000"/>
              <w:bottom w:val="single" w:sz="6" w:space="0" w:color="000000"/>
              <w:right w:val="single" w:sz="6" w:space="0" w:color="000000"/>
            </w:tcBorders>
            <w:vAlign w:val="center"/>
          </w:tcPr>
          <w:p w14:paraId="259C237A" w14:textId="77777777" w:rsidR="009676B2" w:rsidRDefault="00E33DF1" w:rsidP="00F80828">
            <w:pPr>
              <w:tabs>
                <w:tab w:val="left" w:pos="360"/>
              </w:tabs>
              <w:jc w:val="both"/>
              <w:rPr>
                <w:rFonts w:ascii="Garamond" w:eastAsia="Garamond" w:hAnsi="Garamond" w:cs="Garamond"/>
                <w:b/>
              </w:rPr>
            </w:pPr>
            <w:r>
              <w:rPr>
                <w:rFonts w:ascii="Garamond" w:eastAsia="Garamond" w:hAnsi="Garamond" w:cs="Garamond"/>
              </w:rPr>
              <w:t>Ch. 2 &amp; 3 (</w:t>
            </w:r>
            <w:r>
              <w:rPr>
                <w:rFonts w:ascii="Garamond" w:eastAsia="Garamond" w:hAnsi="Garamond" w:cs="Garamond"/>
                <w:b/>
              </w:rPr>
              <w:t>TB</w:t>
            </w:r>
            <w:r>
              <w:rPr>
                <w:rFonts w:ascii="Garamond" w:eastAsia="Garamond" w:hAnsi="Garamond" w:cs="Garamond"/>
              </w:rPr>
              <w:t xml:space="preserve">), Ch. 1, 2 &amp; 4 (R2) and additional readings                </w:t>
            </w:r>
          </w:p>
        </w:tc>
      </w:tr>
      <w:tr w:rsidR="009676B2" w:rsidRPr="00BA568D" w14:paraId="60E91F7C"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CE2E253" w14:textId="77777777" w:rsidR="009676B2" w:rsidRDefault="00E33DF1" w:rsidP="00F80828">
            <w:pPr>
              <w:jc w:val="center"/>
              <w:rPr>
                <w:sz w:val="22"/>
                <w:szCs w:val="22"/>
              </w:rPr>
            </w:pPr>
            <w:r>
              <w:rPr>
                <w:sz w:val="22"/>
                <w:szCs w:val="22"/>
              </w:rPr>
              <w:t>22-23</w:t>
            </w:r>
          </w:p>
        </w:tc>
        <w:tc>
          <w:tcPr>
            <w:tcW w:w="2340" w:type="dxa"/>
            <w:tcBorders>
              <w:top w:val="single" w:sz="6" w:space="0" w:color="000000"/>
              <w:left w:val="single" w:sz="6" w:space="0" w:color="000000"/>
              <w:bottom w:val="single" w:sz="6" w:space="0" w:color="000000"/>
              <w:right w:val="single" w:sz="6" w:space="0" w:color="000000"/>
            </w:tcBorders>
            <w:vAlign w:val="center"/>
          </w:tcPr>
          <w:p w14:paraId="27118676" w14:textId="77777777" w:rsidR="009676B2" w:rsidRDefault="00E33DF1" w:rsidP="00F80828">
            <w:pPr>
              <w:tabs>
                <w:tab w:val="left" w:pos="360"/>
              </w:tabs>
              <w:jc w:val="both"/>
              <w:rPr>
                <w:rFonts w:ascii="Garamond" w:eastAsia="Garamond" w:hAnsi="Garamond" w:cs="Garamond"/>
              </w:rPr>
            </w:pPr>
            <w:r>
              <w:rPr>
                <w:rFonts w:ascii="Garamond" w:eastAsia="Garamond" w:hAnsi="Garamond" w:cs="Garamond"/>
              </w:rPr>
              <w:t>Students will be able to learn about the historical reasons and economic necessity of the planning of Indian economy in the post-independence period and how it shaped the business environment during first four decades after the independence.</w:t>
            </w:r>
          </w:p>
        </w:tc>
        <w:tc>
          <w:tcPr>
            <w:tcW w:w="4324" w:type="dxa"/>
            <w:tcBorders>
              <w:top w:val="single" w:sz="6" w:space="0" w:color="000000"/>
              <w:left w:val="single" w:sz="6" w:space="0" w:color="000000"/>
              <w:bottom w:val="single" w:sz="6" w:space="0" w:color="000000"/>
              <w:right w:val="single" w:sz="6" w:space="0" w:color="000000"/>
            </w:tcBorders>
            <w:vAlign w:val="center"/>
          </w:tcPr>
          <w:p w14:paraId="66601D87" w14:textId="77777777" w:rsidR="00E33DF1" w:rsidRDefault="00E33DF1" w:rsidP="00E33DF1">
            <w:pPr>
              <w:spacing w:line="276" w:lineRule="auto"/>
              <w:jc w:val="both"/>
              <w:rPr>
                <w:rFonts w:ascii="Garamond" w:eastAsia="Garamond" w:hAnsi="Garamond" w:cs="Garamond"/>
                <w:b/>
              </w:rPr>
            </w:pPr>
            <w:r>
              <w:rPr>
                <w:rFonts w:ascii="Garamond" w:eastAsia="Garamond" w:hAnsi="Garamond" w:cs="Garamond"/>
                <w:b/>
              </w:rPr>
              <w:t>Planning in India</w:t>
            </w:r>
          </w:p>
          <w:p w14:paraId="1059BAE2" w14:textId="77777777" w:rsidR="00E33DF1" w:rsidRDefault="00E33DF1" w:rsidP="00E33DF1">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Objectives and Emergence of planning, Planning Commission, Five Year Plans</w:t>
            </w:r>
          </w:p>
          <w:p w14:paraId="5D6326B9" w14:textId="77777777"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3FD17102" w14:textId="77777777" w:rsidR="009676B2" w:rsidRDefault="00E33DF1" w:rsidP="00F80828">
            <w:pPr>
              <w:tabs>
                <w:tab w:val="left" w:pos="360"/>
              </w:tabs>
              <w:jc w:val="both"/>
              <w:rPr>
                <w:rFonts w:ascii="Garamond" w:eastAsia="Garamond" w:hAnsi="Garamond" w:cs="Garamond"/>
                <w:b/>
              </w:rPr>
            </w:pPr>
            <w:r>
              <w:rPr>
                <w:rFonts w:ascii="Garamond" w:eastAsia="Garamond" w:hAnsi="Garamond" w:cs="Garamond"/>
              </w:rPr>
              <w:t>Chapter Ch. 9, 10, 11 (R4) &amp; additional material</w:t>
            </w:r>
          </w:p>
        </w:tc>
      </w:tr>
      <w:tr w:rsidR="009676B2" w:rsidRPr="00BA568D" w14:paraId="3117DFA7"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A69B601" w14:textId="77777777" w:rsidR="009676B2" w:rsidRDefault="00E33DF1" w:rsidP="00F80828">
            <w:pPr>
              <w:jc w:val="center"/>
              <w:rPr>
                <w:sz w:val="22"/>
                <w:szCs w:val="22"/>
              </w:rPr>
            </w:pPr>
            <w:r>
              <w:rPr>
                <w:sz w:val="22"/>
                <w:szCs w:val="22"/>
              </w:rPr>
              <w:t>24-25</w:t>
            </w:r>
          </w:p>
        </w:tc>
        <w:tc>
          <w:tcPr>
            <w:tcW w:w="2340" w:type="dxa"/>
            <w:tcBorders>
              <w:top w:val="single" w:sz="6" w:space="0" w:color="000000"/>
              <w:left w:val="single" w:sz="6" w:space="0" w:color="000000"/>
              <w:bottom w:val="single" w:sz="6" w:space="0" w:color="000000"/>
              <w:right w:val="single" w:sz="6" w:space="0" w:color="000000"/>
            </w:tcBorders>
            <w:vAlign w:val="center"/>
          </w:tcPr>
          <w:p w14:paraId="74783C05" w14:textId="77777777" w:rsidR="009676B2" w:rsidRDefault="00E33DF1" w:rsidP="00F80828">
            <w:pPr>
              <w:tabs>
                <w:tab w:val="left" w:pos="360"/>
              </w:tabs>
              <w:jc w:val="both"/>
              <w:rPr>
                <w:rFonts w:ascii="Garamond" w:eastAsia="Garamond" w:hAnsi="Garamond" w:cs="Garamond"/>
              </w:rPr>
            </w:pPr>
            <w:r>
              <w:rPr>
                <w:rFonts w:ascii="Garamond" w:eastAsia="Garamond" w:hAnsi="Garamond" w:cs="Garamond"/>
              </w:rPr>
              <w:t xml:space="preserve">After completing this module, students will be able to learn about the shifts in economic policies in post-1990s in India and its implications for rapid economic growth and rise of business in private sector in India. Students will also be </w:t>
            </w:r>
            <w:r>
              <w:rPr>
                <w:rFonts w:ascii="Garamond" w:eastAsia="Garamond" w:hAnsi="Garamond" w:cs="Garamond"/>
              </w:rPr>
              <w:lastRenderedPageBreak/>
              <w:t>able to critically comment on recent changes in macro-economic policies that are shaping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43A38F17" w14:textId="77777777" w:rsidR="00E33DF1" w:rsidRDefault="00E33DF1" w:rsidP="00E33DF1">
            <w:pPr>
              <w:spacing w:line="276" w:lineRule="auto"/>
              <w:jc w:val="both"/>
              <w:rPr>
                <w:rFonts w:ascii="Garamond" w:eastAsia="Garamond" w:hAnsi="Garamond" w:cs="Garamond"/>
                <w:b/>
              </w:rPr>
            </w:pPr>
            <w:proofErr w:type="spellStart"/>
            <w:r>
              <w:rPr>
                <w:rFonts w:ascii="Garamond" w:eastAsia="Garamond" w:hAnsi="Garamond" w:cs="Garamond"/>
                <w:b/>
              </w:rPr>
              <w:lastRenderedPageBreak/>
              <w:t>Liberalisation</w:t>
            </w:r>
            <w:proofErr w:type="spellEnd"/>
            <w:r>
              <w:rPr>
                <w:rFonts w:ascii="Garamond" w:eastAsia="Garamond" w:hAnsi="Garamond" w:cs="Garamond"/>
                <w:b/>
              </w:rPr>
              <w:t xml:space="preserve"> and </w:t>
            </w:r>
            <w:proofErr w:type="spellStart"/>
            <w:r>
              <w:rPr>
                <w:rFonts w:ascii="Garamond" w:eastAsia="Garamond" w:hAnsi="Garamond" w:cs="Garamond"/>
                <w:b/>
              </w:rPr>
              <w:t>Globalisation</w:t>
            </w:r>
            <w:proofErr w:type="spellEnd"/>
          </w:p>
          <w:p w14:paraId="74B5482F" w14:textId="77777777"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 xml:space="preserve">Meaning and key features, New Economic Policy, </w:t>
            </w:r>
            <w:proofErr w:type="spellStart"/>
            <w:r>
              <w:rPr>
                <w:rFonts w:ascii="Garamond" w:eastAsia="Garamond" w:hAnsi="Garamond" w:cs="Garamond"/>
              </w:rPr>
              <w:t>Globalisation</w:t>
            </w:r>
            <w:proofErr w:type="spellEnd"/>
            <w:r>
              <w:rPr>
                <w:rFonts w:ascii="Garamond" w:eastAsia="Garamond" w:hAnsi="Garamond" w:cs="Garamond"/>
              </w:rPr>
              <w:t xml:space="preserve">, </w:t>
            </w:r>
            <w:proofErr w:type="spellStart"/>
            <w:r>
              <w:rPr>
                <w:rFonts w:ascii="Garamond" w:eastAsia="Garamond" w:hAnsi="Garamond" w:cs="Garamond"/>
              </w:rPr>
              <w:t>Privatisation</w:t>
            </w:r>
            <w:proofErr w:type="spellEnd"/>
            <w:r>
              <w:rPr>
                <w:rFonts w:ascii="Garamond" w:eastAsia="Garamond" w:hAnsi="Garamond" w:cs="Garamond"/>
              </w:rPr>
              <w:t xml:space="preserve">, Foreign Direct Investment, Multinational Corporations  </w:t>
            </w:r>
          </w:p>
          <w:p w14:paraId="699F2351" w14:textId="77777777"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1AB82A" w14:textId="77777777" w:rsidR="009676B2" w:rsidRDefault="00E33DF1" w:rsidP="00F80828">
            <w:pPr>
              <w:tabs>
                <w:tab w:val="left" w:pos="360"/>
              </w:tabs>
              <w:jc w:val="both"/>
              <w:rPr>
                <w:rFonts w:ascii="Garamond" w:eastAsia="Garamond" w:hAnsi="Garamond" w:cs="Garamond"/>
                <w:b/>
              </w:rPr>
            </w:pPr>
            <w:r>
              <w:rPr>
                <w:rFonts w:ascii="Garamond" w:eastAsia="Garamond" w:hAnsi="Garamond" w:cs="Garamond"/>
              </w:rPr>
              <w:t>Chapter 5 (R 2) &amp; additional readings</w:t>
            </w:r>
          </w:p>
        </w:tc>
      </w:tr>
      <w:tr w:rsidR="009676B2" w:rsidRPr="00BA568D" w14:paraId="1A7230AE"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BEBCC93" w14:textId="77777777" w:rsidR="009676B2" w:rsidRDefault="00C5722B" w:rsidP="00F80828">
            <w:pPr>
              <w:jc w:val="center"/>
              <w:rPr>
                <w:sz w:val="22"/>
                <w:szCs w:val="22"/>
              </w:rPr>
            </w:pPr>
            <w:r>
              <w:rPr>
                <w:sz w:val="22"/>
                <w:szCs w:val="22"/>
              </w:rPr>
              <w:t>26-27</w:t>
            </w:r>
          </w:p>
        </w:tc>
        <w:tc>
          <w:tcPr>
            <w:tcW w:w="2340" w:type="dxa"/>
            <w:tcBorders>
              <w:top w:val="single" w:sz="6" w:space="0" w:color="000000"/>
              <w:left w:val="single" w:sz="6" w:space="0" w:color="000000"/>
              <w:bottom w:val="single" w:sz="6" w:space="0" w:color="000000"/>
              <w:right w:val="single" w:sz="6" w:space="0" w:color="000000"/>
            </w:tcBorders>
            <w:vAlign w:val="center"/>
          </w:tcPr>
          <w:p w14:paraId="20142B79" w14:textId="77777777" w:rsidR="009676B2" w:rsidRDefault="00E33DF1" w:rsidP="00F80828">
            <w:pPr>
              <w:tabs>
                <w:tab w:val="left" w:pos="360"/>
              </w:tabs>
              <w:jc w:val="both"/>
              <w:rPr>
                <w:rFonts w:ascii="Garamond" w:eastAsia="Garamond" w:hAnsi="Garamond" w:cs="Garamond"/>
              </w:rPr>
            </w:pPr>
            <w:r>
              <w:rPr>
                <w:rFonts w:ascii="Garamond" w:eastAsia="Garamond" w:hAnsi="Garamond" w:cs="Garamond"/>
              </w:rPr>
              <w:t>In this module, students will be able to learn about major temporal changes in the industrial policies in India since independence and its implication for growth of the industrial sector in India during pre-and-post economic reform period in India. Students will be able to do in-depth analysis of the performance of manufacturing sector in the post-reform period and learn about recent strategies of the government in promoting manufacturing sector in India.</w:t>
            </w:r>
          </w:p>
        </w:tc>
        <w:tc>
          <w:tcPr>
            <w:tcW w:w="4324" w:type="dxa"/>
            <w:tcBorders>
              <w:top w:val="single" w:sz="6" w:space="0" w:color="000000"/>
              <w:left w:val="single" w:sz="6" w:space="0" w:color="000000"/>
              <w:bottom w:val="single" w:sz="6" w:space="0" w:color="000000"/>
              <w:right w:val="single" w:sz="6" w:space="0" w:color="000000"/>
            </w:tcBorders>
            <w:vAlign w:val="center"/>
          </w:tcPr>
          <w:p w14:paraId="40D49567" w14:textId="77777777" w:rsidR="00E33DF1" w:rsidRDefault="00E33DF1" w:rsidP="00E33DF1">
            <w:pPr>
              <w:spacing w:line="276" w:lineRule="auto"/>
              <w:jc w:val="both"/>
              <w:rPr>
                <w:rFonts w:ascii="Garamond" w:eastAsia="Garamond" w:hAnsi="Garamond" w:cs="Garamond"/>
                <w:b/>
              </w:rPr>
            </w:pPr>
            <w:r>
              <w:rPr>
                <w:rFonts w:ascii="Garamond" w:eastAsia="Garamond" w:hAnsi="Garamond" w:cs="Garamond"/>
                <w:b/>
              </w:rPr>
              <w:t>Industrial Policy</w:t>
            </w:r>
          </w:p>
          <w:p w14:paraId="36745F18" w14:textId="77777777"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Role of industry in economic development, industrial policy, industrial licensing, MRTP Act</w:t>
            </w:r>
          </w:p>
          <w:p w14:paraId="2970EAEB" w14:textId="77777777"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6BF112FC" w14:textId="77777777" w:rsidR="009676B2" w:rsidRDefault="00C5722B" w:rsidP="00F80828">
            <w:pPr>
              <w:tabs>
                <w:tab w:val="left" w:pos="360"/>
              </w:tabs>
              <w:jc w:val="both"/>
              <w:rPr>
                <w:rFonts w:ascii="Garamond" w:eastAsia="Garamond" w:hAnsi="Garamond" w:cs="Garamond"/>
                <w:b/>
              </w:rPr>
            </w:pPr>
            <w:r>
              <w:rPr>
                <w:rFonts w:ascii="Garamond" w:eastAsia="Garamond" w:hAnsi="Garamond" w:cs="Garamond"/>
                <w:b/>
              </w:rPr>
              <w:t xml:space="preserve">:  </w:t>
            </w:r>
            <w:r>
              <w:rPr>
                <w:rFonts w:ascii="Garamond" w:eastAsia="Garamond" w:hAnsi="Garamond" w:cs="Garamond"/>
              </w:rPr>
              <w:t>Ch. 3 (R1) &amp; Additional readings</w:t>
            </w:r>
          </w:p>
        </w:tc>
      </w:tr>
      <w:tr w:rsidR="009676B2" w:rsidRPr="00BA568D" w14:paraId="22A17826"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9C242AD" w14:textId="77777777" w:rsidR="009676B2" w:rsidRDefault="00C5722B" w:rsidP="00F80828">
            <w:pPr>
              <w:jc w:val="center"/>
              <w:rPr>
                <w:sz w:val="22"/>
                <w:szCs w:val="22"/>
              </w:rPr>
            </w:pPr>
            <w:r>
              <w:rPr>
                <w:sz w:val="22"/>
                <w:szCs w:val="22"/>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14:paraId="1C84BAEB" w14:textId="77777777" w:rsidR="009676B2" w:rsidRDefault="00C5722B" w:rsidP="00F80828">
            <w:pPr>
              <w:tabs>
                <w:tab w:val="left" w:pos="360"/>
              </w:tabs>
              <w:jc w:val="both"/>
              <w:rPr>
                <w:rFonts w:ascii="Garamond" w:eastAsia="Garamond" w:hAnsi="Garamond" w:cs="Garamond"/>
              </w:rPr>
            </w:pPr>
            <w:r>
              <w:rPr>
                <w:rFonts w:ascii="Garamond" w:eastAsia="Garamond" w:hAnsi="Garamond" w:cs="Garamond"/>
              </w:rPr>
              <w:t xml:space="preserve">On completing this module,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role of fiscal policy in achieving macro-stability and promoting equitable and sustainable economic growth.  Students will able to </w:t>
            </w:r>
            <w:proofErr w:type="spellStart"/>
            <w:r>
              <w:rPr>
                <w:rFonts w:ascii="Garamond" w:eastAsia="Garamond" w:hAnsi="Garamond" w:cs="Garamond"/>
              </w:rPr>
              <w:t>analyse</w:t>
            </w:r>
            <w:proofErr w:type="spellEnd"/>
            <w:r>
              <w:rPr>
                <w:rFonts w:ascii="Garamond" w:eastAsia="Garamond" w:hAnsi="Garamond" w:cs="Garamond"/>
              </w:rPr>
              <w:t xml:space="preserve"> the impact of fiscal policies such as the Fiscal Responsibility and Budget Management Act 2003 on </w:t>
            </w:r>
            <w:r>
              <w:rPr>
                <w:rFonts w:ascii="Garamond" w:eastAsia="Garamond" w:hAnsi="Garamond" w:cs="Garamond"/>
              </w:rPr>
              <w:lastRenderedPageBreak/>
              <w:t>performance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2B039B92"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lastRenderedPageBreak/>
              <w:t xml:space="preserve">Fiscal Policy </w:t>
            </w:r>
          </w:p>
          <w:p w14:paraId="4473ED7B"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objective, techniques, advantages and evaluation of fiscal policy. Direct and indirect taxes, and expenditure policy of the Government.</w:t>
            </w:r>
          </w:p>
          <w:p w14:paraId="2E6A5F6D" w14:textId="77777777"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1DBA6F9" w14:textId="77777777" w:rsidR="009676B2" w:rsidRDefault="00C5722B" w:rsidP="00F80828">
            <w:pPr>
              <w:tabs>
                <w:tab w:val="left" w:pos="360"/>
              </w:tabs>
              <w:jc w:val="both"/>
              <w:rPr>
                <w:rFonts w:ascii="Garamond" w:eastAsia="Garamond" w:hAnsi="Garamond" w:cs="Garamond"/>
                <w:b/>
              </w:rPr>
            </w:pPr>
            <w:r>
              <w:rPr>
                <w:rFonts w:ascii="Garamond" w:eastAsia="Garamond" w:hAnsi="Garamond" w:cs="Garamond"/>
              </w:rPr>
              <w:t>Ch.4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14:paraId="412F25CC"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8B0D8B" w14:textId="77777777" w:rsidR="00C5722B" w:rsidRDefault="00C5722B" w:rsidP="00F80828">
            <w:pPr>
              <w:jc w:val="center"/>
              <w:rPr>
                <w:sz w:val="22"/>
                <w:szCs w:val="22"/>
              </w:rPr>
            </w:pPr>
            <w:r>
              <w:rPr>
                <w:sz w:val="22"/>
                <w:szCs w:val="22"/>
              </w:rPr>
              <w:t>32-35</w:t>
            </w:r>
          </w:p>
        </w:tc>
        <w:tc>
          <w:tcPr>
            <w:tcW w:w="2340" w:type="dxa"/>
            <w:tcBorders>
              <w:top w:val="single" w:sz="6" w:space="0" w:color="000000"/>
              <w:left w:val="single" w:sz="6" w:space="0" w:color="000000"/>
              <w:bottom w:val="single" w:sz="6" w:space="0" w:color="000000"/>
              <w:right w:val="single" w:sz="6" w:space="0" w:color="000000"/>
            </w:tcBorders>
            <w:vAlign w:val="center"/>
          </w:tcPr>
          <w:p w14:paraId="1C9348C4"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After this module, students will be able to discuss how changes in monetary policy impact strategic decision by business such as firm borrowing decision and investment decision. They will also learn about the role of central banks in formulating monetary policy.  </w:t>
            </w:r>
          </w:p>
        </w:tc>
        <w:tc>
          <w:tcPr>
            <w:tcW w:w="4324" w:type="dxa"/>
            <w:tcBorders>
              <w:top w:val="single" w:sz="6" w:space="0" w:color="000000"/>
              <w:left w:val="single" w:sz="6" w:space="0" w:color="000000"/>
              <w:bottom w:val="single" w:sz="6" w:space="0" w:color="000000"/>
              <w:right w:val="single" w:sz="6" w:space="0" w:color="000000"/>
            </w:tcBorders>
            <w:vAlign w:val="center"/>
          </w:tcPr>
          <w:p w14:paraId="595B54AE"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t>Monetary Policy</w:t>
            </w:r>
          </w:p>
          <w:p w14:paraId="1FCC6A02"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meaning, objectives of monetary policy, direct and indirect instruments monetary policy and role of central bank (RBI) in monetary policy</w:t>
            </w:r>
          </w:p>
          <w:p w14:paraId="000B9D8E" w14:textId="77777777"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8A8075B"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Ch.5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14:paraId="69D99B85"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8C9CE43" w14:textId="77777777" w:rsidR="00C5722B" w:rsidRDefault="00C5722B" w:rsidP="00F80828">
            <w:pPr>
              <w:jc w:val="center"/>
              <w:rPr>
                <w:sz w:val="22"/>
                <w:szCs w:val="22"/>
              </w:rPr>
            </w:pPr>
            <w:r>
              <w:rPr>
                <w:sz w:val="22"/>
                <w:szCs w:val="22"/>
              </w:rPr>
              <w:t>36-39</w:t>
            </w:r>
          </w:p>
          <w:p w14:paraId="00FAC14D" w14:textId="77777777" w:rsidR="00C5722B" w:rsidRDefault="00C5722B" w:rsidP="00F80828">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14:paraId="2ED65C19"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By the completion of the module, students will be able to discuss how trade policy influences business environment in an economy.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measures taken by the government of India to promote export oriented business in India in the recent years.   </w:t>
            </w:r>
          </w:p>
        </w:tc>
        <w:tc>
          <w:tcPr>
            <w:tcW w:w="4324" w:type="dxa"/>
            <w:tcBorders>
              <w:top w:val="single" w:sz="6" w:space="0" w:color="000000"/>
              <w:left w:val="single" w:sz="6" w:space="0" w:color="000000"/>
              <w:bottom w:val="single" w:sz="6" w:space="0" w:color="000000"/>
              <w:right w:val="single" w:sz="6" w:space="0" w:color="000000"/>
            </w:tcBorders>
            <w:vAlign w:val="center"/>
          </w:tcPr>
          <w:p w14:paraId="7097FC9A"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Trade and EXIM Policy </w:t>
            </w:r>
          </w:p>
          <w:p w14:paraId="11C29D44" w14:textId="77777777"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Features and phases of India’s trade policy, reforms, BOP, current and capital accounts, FERA, FEMA, Special economic Zones. </w:t>
            </w:r>
          </w:p>
          <w:p w14:paraId="7217F891" w14:textId="77777777"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CA7BBBA"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Ch. 6, 7 (R2) Ch. 6 (</w:t>
            </w:r>
            <w:r>
              <w:rPr>
                <w:rFonts w:ascii="Garamond" w:eastAsia="Garamond" w:hAnsi="Garamond" w:cs="Garamond"/>
                <w:b/>
              </w:rPr>
              <w:t>TB</w:t>
            </w:r>
            <w:r>
              <w:rPr>
                <w:rFonts w:ascii="Garamond" w:eastAsia="Garamond" w:hAnsi="Garamond" w:cs="Garamond"/>
              </w:rPr>
              <w:t>) &amp; additional readings</w:t>
            </w:r>
          </w:p>
        </w:tc>
      </w:tr>
      <w:tr w:rsidR="00C5722B" w:rsidRPr="00BA568D" w14:paraId="3901A023"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C302C0F" w14:textId="77777777" w:rsidR="00C5722B" w:rsidRDefault="00C5722B" w:rsidP="00F80828">
            <w:pPr>
              <w:jc w:val="center"/>
              <w:rPr>
                <w:sz w:val="22"/>
                <w:szCs w:val="22"/>
              </w:rPr>
            </w:pPr>
            <w:r>
              <w:rPr>
                <w:sz w:val="22"/>
                <w:szCs w:val="22"/>
              </w:rPr>
              <w:t>40-42</w:t>
            </w:r>
          </w:p>
        </w:tc>
        <w:tc>
          <w:tcPr>
            <w:tcW w:w="2340" w:type="dxa"/>
            <w:tcBorders>
              <w:top w:val="single" w:sz="6" w:space="0" w:color="000000"/>
              <w:left w:val="single" w:sz="6" w:space="0" w:color="000000"/>
              <w:bottom w:val="single" w:sz="6" w:space="0" w:color="000000"/>
              <w:right w:val="single" w:sz="6" w:space="0" w:color="000000"/>
            </w:tcBorders>
            <w:vAlign w:val="center"/>
          </w:tcPr>
          <w:p w14:paraId="3F17271F"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Students will be able critically </w:t>
            </w:r>
            <w:proofErr w:type="spellStart"/>
            <w:r>
              <w:rPr>
                <w:rFonts w:ascii="Garamond" w:eastAsia="Garamond" w:hAnsi="Garamond" w:cs="Garamond"/>
              </w:rPr>
              <w:t>analyse</w:t>
            </w:r>
            <w:proofErr w:type="spellEnd"/>
            <w:r>
              <w:rPr>
                <w:rFonts w:ascii="Garamond" w:eastAsia="Garamond" w:hAnsi="Garamond" w:cs="Garamond"/>
              </w:rPr>
              <w:t xml:space="preserve"> economic factors that influence international business environment and the role of different international institutions in shaping international business environment.  </w:t>
            </w:r>
          </w:p>
        </w:tc>
        <w:tc>
          <w:tcPr>
            <w:tcW w:w="4324" w:type="dxa"/>
            <w:tcBorders>
              <w:top w:val="single" w:sz="6" w:space="0" w:color="000000"/>
              <w:left w:val="single" w:sz="6" w:space="0" w:color="000000"/>
              <w:bottom w:val="single" w:sz="6" w:space="0" w:color="000000"/>
              <w:right w:val="single" w:sz="6" w:space="0" w:color="000000"/>
            </w:tcBorders>
            <w:vAlign w:val="center"/>
          </w:tcPr>
          <w:p w14:paraId="7644AAC6" w14:textId="77777777"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International Business Environment </w:t>
            </w:r>
          </w:p>
          <w:p w14:paraId="435857F4" w14:textId="77777777"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The concept of international business environment and role of international agencies such as World Bank, International Monetary Fund, World Trade </w:t>
            </w:r>
            <w:proofErr w:type="spellStart"/>
            <w:r>
              <w:rPr>
                <w:rFonts w:ascii="Garamond" w:eastAsia="Garamond" w:hAnsi="Garamond" w:cs="Garamond"/>
              </w:rPr>
              <w:t>Organisation</w:t>
            </w:r>
            <w:proofErr w:type="spellEnd"/>
            <w:r>
              <w:rPr>
                <w:rFonts w:ascii="Garamond" w:eastAsia="Garamond" w:hAnsi="Garamond" w:cs="Garamond"/>
              </w:rPr>
              <w:t xml:space="preserve"> shaping international business environment. </w:t>
            </w:r>
          </w:p>
          <w:p w14:paraId="2F330661" w14:textId="77777777"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3888FCD" w14:textId="77777777" w:rsidR="00C5722B" w:rsidRDefault="00C5722B" w:rsidP="00F80828">
            <w:pPr>
              <w:tabs>
                <w:tab w:val="left" w:pos="360"/>
              </w:tabs>
              <w:jc w:val="both"/>
              <w:rPr>
                <w:rFonts w:ascii="Garamond" w:eastAsia="Garamond" w:hAnsi="Garamond" w:cs="Garamond"/>
              </w:rPr>
            </w:pPr>
            <w:r>
              <w:rPr>
                <w:rFonts w:ascii="Garamond" w:eastAsia="Garamond" w:hAnsi="Garamond" w:cs="Garamond"/>
              </w:rPr>
              <w:t>Chp.7 (</w:t>
            </w:r>
            <w:r>
              <w:rPr>
                <w:rFonts w:ascii="Garamond" w:eastAsia="Garamond" w:hAnsi="Garamond" w:cs="Garamond"/>
                <w:b/>
              </w:rPr>
              <w:t>TB</w:t>
            </w:r>
            <w:r>
              <w:rPr>
                <w:rFonts w:ascii="Garamond" w:eastAsia="Garamond" w:hAnsi="Garamond" w:cs="Garamond"/>
              </w:rPr>
              <w:t>) &amp; Ch.8 (R2) &amp; Additional readings</w:t>
            </w:r>
          </w:p>
        </w:tc>
      </w:tr>
    </w:tbl>
    <w:p w14:paraId="0E693170"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749A5D8A"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61037EC0" w14:textId="77777777" w:rsidR="00F15F6C" w:rsidRDefault="00F15F6C">
      <w:pPr>
        <w:spacing w:line="276" w:lineRule="auto"/>
        <w:jc w:val="both"/>
        <w:rPr>
          <w:rFonts w:ascii="Garamond" w:eastAsia="Garamond" w:hAnsi="Garamond" w:cs="Garamond"/>
          <w:b/>
        </w:rPr>
      </w:pPr>
    </w:p>
    <w:p w14:paraId="5E228342" w14:textId="77777777" w:rsidR="00F15F6C" w:rsidRDefault="00A32AD0">
      <w:pPr>
        <w:spacing w:line="276" w:lineRule="auto"/>
        <w:jc w:val="both"/>
        <w:rPr>
          <w:rFonts w:ascii="Garamond" w:eastAsia="Garamond" w:hAnsi="Garamond" w:cs="Garamond"/>
          <w:b/>
        </w:rPr>
      </w:pPr>
      <w:r>
        <w:rPr>
          <w:rFonts w:ascii="Garamond" w:eastAsia="Garamond" w:hAnsi="Garamond" w:cs="Garamond"/>
          <w:b/>
        </w:rPr>
        <w:t>Module-6: Industrial Policy</w:t>
      </w:r>
    </w:p>
    <w:p w14:paraId="6D127050" w14:textId="77777777" w:rsidR="00F15F6C" w:rsidRDefault="00F15F6C">
      <w:pPr>
        <w:spacing w:line="276" w:lineRule="auto"/>
        <w:jc w:val="both"/>
        <w:rPr>
          <w:rFonts w:ascii="Garamond" w:eastAsia="Garamond" w:hAnsi="Garamond" w:cs="Garamond"/>
          <w:b/>
        </w:rPr>
      </w:pPr>
    </w:p>
    <w:p w14:paraId="776B9822" w14:textId="77777777" w:rsidR="00F15F6C" w:rsidRDefault="00A32AD0">
      <w:pPr>
        <w:spacing w:line="276" w:lineRule="auto"/>
        <w:jc w:val="both"/>
        <w:rPr>
          <w:rFonts w:ascii="Garamond" w:eastAsia="Garamond" w:hAnsi="Garamond" w:cs="Garamond"/>
        </w:rPr>
      </w:pPr>
      <w:r>
        <w:rPr>
          <w:rFonts w:ascii="Garamond" w:eastAsia="Garamond" w:hAnsi="Garamond" w:cs="Garamond"/>
          <w:b/>
        </w:rPr>
        <w:t>5. 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2547"/>
        <w:gridCol w:w="1498"/>
        <w:gridCol w:w="1483"/>
        <w:gridCol w:w="2582"/>
        <w:gridCol w:w="1437"/>
      </w:tblGrid>
      <w:tr w:rsidR="00DD7558" w:rsidRPr="003632EC" w14:paraId="0114BE1A" w14:textId="77777777" w:rsidTr="00DE714F">
        <w:tc>
          <w:tcPr>
            <w:tcW w:w="641" w:type="dxa"/>
            <w:tcBorders>
              <w:top w:val="single" w:sz="4" w:space="0" w:color="auto"/>
              <w:left w:val="single" w:sz="4" w:space="0" w:color="auto"/>
              <w:bottom w:val="single" w:sz="4" w:space="0" w:color="auto"/>
              <w:right w:val="single" w:sz="4" w:space="0" w:color="auto"/>
            </w:tcBorders>
          </w:tcPr>
          <w:p w14:paraId="75B83FEB" w14:textId="77777777" w:rsidR="00DD7558" w:rsidRPr="003632EC" w:rsidRDefault="00DD7558" w:rsidP="00627D41">
            <w:pPr>
              <w:suppressAutoHyphens/>
              <w:spacing w:before="120"/>
              <w:jc w:val="both"/>
              <w:rPr>
                <w:b/>
                <w:spacing w:val="-2"/>
              </w:rPr>
            </w:pPr>
            <w:r w:rsidRPr="003632EC">
              <w:rPr>
                <w:b/>
                <w:spacing w:val="-2"/>
              </w:rPr>
              <w:lastRenderedPageBreak/>
              <w:t>EC No.</w:t>
            </w:r>
          </w:p>
        </w:tc>
        <w:tc>
          <w:tcPr>
            <w:tcW w:w="2547" w:type="dxa"/>
            <w:tcBorders>
              <w:top w:val="single" w:sz="4" w:space="0" w:color="auto"/>
              <w:left w:val="single" w:sz="4" w:space="0" w:color="auto"/>
              <w:bottom w:val="single" w:sz="4" w:space="0" w:color="auto"/>
              <w:right w:val="single" w:sz="4" w:space="0" w:color="auto"/>
            </w:tcBorders>
          </w:tcPr>
          <w:p w14:paraId="3879060B" w14:textId="77777777" w:rsidR="00DD7558" w:rsidRPr="003632EC" w:rsidRDefault="00DD7558" w:rsidP="00627D41">
            <w:pPr>
              <w:suppressAutoHyphens/>
              <w:spacing w:before="120"/>
              <w:jc w:val="both"/>
              <w:rPr>
                <w:b/>
                <w:spacing w:val="-2"/>
              </w:rPr>
            </w:pPr>
            <w:r w:rsidRPr="003632EC">
              <w:rPr>
                <w:b/>
                <w:spacing w:val="-2"/>
              </w:rPr>
              <w:t>Components</w:t>
            </w:r>
          </w:p>
        </w:tc>
        <w:tc>
          <w:tcPr>
            <w:tcW w:w="1498" w:type="dxa"/>
            <w:tcBorders>
              <w:top w:val="single" w:sz="4" w:space="0" w:color="auto"/>
              <w:left w:val="single" w:sz="4" w:space="0" w:color="auto"/>
              <w:bottom w:val="single" w:sz="4" w:space="0" w:color="auto"/>
              <w:right w:val="single" w:sz="4" w:space="0" w:color="auto"/>
            </w:tcBorders>
          </w:tcPr>
          <w:p w14:paraId="15E9AE96" w14:textId="77777777" w:rsidR="00DD7558" w:rsidRPr="003632EC" w:rsidRDefault="00DD7558" w:rsidP="00627D41">
            <w:pPr>
              <w:suppressAutoHyphens/>
              <w:spacing w:before="120"/>
              <w:jc w:val="both"/>
              <w:rPr>
                <w:b/>
                <w:spacing w:val="-2"/>
              </w:rPr>
            </w:pPr>
            <w:r w:rsidRPr="003632EC">
              <w:rPr>
                <w:b/>
                <w:spacing w:val="-2"/>
              </w:rPr>
              <w:t>Duration</w:t>
            </w:r>
          </w:p>
        </w:tc>
        <w:tc>
          <w:tcPr>
            <w:tcW w:w="1483" w:type="dxa"/>
            <w:tcBorders>
              <w:top w:val="single" w:sz="4" w:space="0" w:color="auto"/>
              <w:left w:val="single" w:sz="4" w:space="0" w:color="auto"/>
              <w:bottom w:val="single" w:sz="4" w:space="0" w:color="auto"/>
              <w:right w:val="single" w:sz="4" w:space="0" w:color="auto"/>
            </w:tcBorders>
          </w:tcPr>
          <w:p w14:paraId="40DB7B1F" w14:textId="77777777" w:rsidR="00DD7558" w:rsidRPr="003632EC" w:rsidRDefault="00DD7558" w:rsidP="00627D41">
            <w:pPr>
              <w:suppressAutoHyphens/>
              <w:spacing w:before="120"/>
              <w:jc w:val="center"/>
              <w:rPr>
                <w:b/>
                <w:spacing w:val="-2"/>
              </w:rPr>
            </w:pPr>
            <w:r w:rsidRPr="003632EC">
              <w:rPr>
                <w:b/>
                <w:spacing w:val="-2"/>
              </w:rPr>
              <w:t>Weight age       (%)</w:t>
            </w:r>
          </w:p>
        </w:tc>
        <w:tc>
          <w:tcPr>
            <w:tcW w:w="2582" w:type="dxa"/>
            <w:tcBorders>
              <w:top w:val="single" w:sz="4" w:space="0" w:color="auto"/>
              <w:left w:val="single" w:sz="4" w:space="0" w:color="auto"/>
              <w:bottom w:val="single" w:sz="4" w:space="0" w:color="auto"/>
              <w:right w:val="single" w:sz="4" w:space="0" w:color="auto"/>
            </w:tcBorders>
          </w:tcPr>
          <w:p w14:paraId="3F0F2ACE" w14:textId="77777777" w:rsidR="00DD7558" w:rsidRPr="003632EC" w:rsidRDefault="00DD7558" w:rsidP="00627D41">
            <w:pPr>
              <w:suppressAutoHyphens/>
              <w:spacing w:before="120"/>
              <w:jc w:val="both"/>
              <w:rPr>
                <w:b/>
                <w:spacing w:val="-2"/>
              </w:rPr>
            </w:pPr>
            <w:r w:rsidRPr="003632EC">
              <w:rPr>
                <w:b/>
                <w:spacing w:val="-2"/>
              </w:rPr>
              <w:t>Date, Time &amp; Venue</w:t>
            </w:r>
          </w:p>
        </w:tc>
        <w:tc>
          <w:tcPr>
            <w:tcW w:w="1437" w:type="dxa"/>
            <w:tcBorders>
              <w:top w:val="single" w:sz="4" w:space="0" w:color="auto"/>
              <w:left w:val="single" w:sz="4" w:space="0" w:color="auto"/>
              <w:bottom w:val="single" w:sz="4" w:space="0" w:color="auto"/>
              <w:right w:val="single" w:sz="4" w:space="0" w:color="auto"/>
            </w:tcBorders>
          </w:tcPr>
          <w:p w14:paraId="43E9F2CF" w14:textId="77777777" w:rsidR="00DD7558" w:rsidRPr="003632EC" w:rsidRDefault="00DD7558" w:rsidP="00627D41">
            <w:pPr>
              <w:suppressAutoHyphens/>
              <w:spacing w:before="120"/>
              <w:rPr>
                <w:b/>
                <w:spacing w:val="-2"/>
              </w:rPr>
            </w:pPr>
            <w:r w:rsidRPr="003632EC">
              <w:rPr>
                <w:b/>
                <w:spacing w:val="-2"/>
              </w:rPr>
              <w:t>Nature of Component</w:t>
            </w:r>
          </w:p>
        </w:tc>
      </w:tr>
      <w:tr w:rsidR="00DE714F" w:rsidRPr="003632EC" w14:paraId="62891D7E" w14:textId="77777777" w:rsidTr="00DE714F">
        <w:tc>
          <w:tcPr>
            <w:tcW w:w="641" w:type="dxa"/>
            <w:tcBorders>
              <w:top w:val="single" w:sz="4" w:space="0" w:color="auto"/>
              <w:left w:val="single" w:sz="4" w:space="0" w:color="auto"/>
              <w:bottom w:val="single" w:sz="4" w:space="0" w:color="auto"/>
              <w:right w:val="single" w:sz="4" w:space="0" w:color="auto"/>
            </w:tcBorders>
          </w:tcPr>
          <w:p w14:paraId="13CDA930" w14:textId="77777777" w:rsidR="00DE714F" w:rsidRPr="003632EC" w:rsidRDefault="00DE714F" w:rsidP="00DE714F">
            <w:pPr>
              <w:suppressAutoHyphens/>
              <w:spacing w:before="120"/>
              <w:jc w:val="both"/>
              <w:rPr>
                <w:bCs/>
                <w:spacing w:val="-2"/>
              </w:rPr>
            </w:pPr>
            <w:r w:rsidRPr="003632EC">
              <w:rPr>
                <w:bCs/>
                <w:spacing w:val="-2"/>
              </w:rPr>
              <w:t>1.</w:t>
            </w:r>
          </w:p>
        </w:tc>
        <w:tc>
          <w:tcPr>
            <w:tcW w:w="2547" w:type="dxa"/>
            <w:tcBorders>
              <w:top w:val="single" w:sz="4" w:space="0" w:color="auto"/>
              <w:left w:val="single" w:sz="4" w:space="0" w:color="auto"/>
              <w:bottom w:val="single" w:sz="4" w:space="0" w:color="auto"/>
              <w:right w:val="single" w:sz="4" w:space="0" w:color="auto"/>
            </w:tcBorders>
          </w:tcPr>
          <w:p w14:paraId="53E063B0" w14:textId="77777777" w:rsidR="00DE714F" w:rsidRPr="00387F2C" w:rsidRDefault="00DE714F" w:rsidP="00DE714F">
            <w:pPr>
              <w:tabs>
                <w:tab w:val="left" w:pos="0"/>
              </w:tabs>
              <w:suppressAutoHyphens/>
              <w:rPr>
                <w:spacing w:val="-3"/>
              </w:rPr>
            </w:pPr>
            <w:r>
              <w:rPr>
                <w:spacing w:val="-3"/>
              </w:rPr>
              <w:t>Test 1</w:t>
            </w:r>
          </w:p>
        </w:tc>
        <w:tc>
          <w:tcPr>
            <w:tcW w:w="1498" w:type="dxa"/>
            <w:tcBorders>
              <w:top w:val="single" w:sz="4" w:space="0" w:color="auto"/>
              <w:left w:val="single" w:sz="4" w:space="0" w:color="auto"/>
              <w:bottom w:val="single" w:sz="4" w:space="0" w:color="auto"/>
              <w:right w:val="single" w:sz="4" w:space="0" w:color="auto"/>
            </w:tcBorders>
          </w:tcPr>
          <w:p w14:paraId="625D46B1" w14:textId="77777777" w:rsidR="00DE714F" w:rsidRPr="00387F2C" w:rsidRDefault="00DE714F" w:rsidP="00DE714F">
            <w:pPr>
              <w:tabs>
                <w:tab w:val="left" w:pos="0"/>
              </w:tabs>
              <w:suppressAutoHyphens/>
              <w:jc w:val="center"/>
              <w:rPr>
                <w:spacing w:val="-3"/>
              </w:rPr>
            </w:pPr>
            <w:r>
              <w:rPr>
                <w:spacing w:val="-3"/>
              </w:rPr>
              <w:t>30 min.</w:t>
            </w:r>
          </w:p>
        </w:tc>
        <w:tc>
          <w:tcPr>
            <w:tcW w:w="1483" w:type="dxa"/>
            <w:tcBorders>
              <w:top w:val="single" w:sz="4" w:space="0" w:color="auto"/>
              <w:left w:val="single" w:sz="4" w:space="0" w:color="auto"/>
              <w:bottom w:val="single" w:sz="4" w:space="0" w:color="auto"/>
              <w:right w:val="single" w:sz="4" w:space="0" w:color="auto"/>
            </w:tcBorders>
          </w:tcPr>
          <w:p w14:paraId="2F6DDE1A" w14:textId="77777777" w:rsidR="00DE714F" w:rsidRPr="00387F2C" w:rsidRDefault="00DE714F" w:rsidP="00DE714F">
            <w:pPr>
              <w:tabs>
                <w:tab w:val="left" w:pos="0"/>
              </w:tabs>
              <w:suppressAutoHyphens/>
              <w:jc w:val="center"/>
              <w:rPr>
                <w:spacing w:val="-3"/>
              </w:rPr>
            </w:pPr>
            <w:r>
              <w:rPr>
                <w:spacing w:val="-3"/>
              </w:rPr>
              <w:t>15</w:t>
            </w:r>
          </w:p>
        </w:tc>
        <w:tc>
          <w:tcPr>
            <w:tcW w:w="2582" w:type="dxa"/>
            <w:tcBorders>
              <w:top w:val="single" w:sz="4" w:space="0" w:color="auto"/>
              <w:left w:val="single" w:sz="4" w:space="0" w:color="auto"/>
              <w:bottom w:val="single" w:sz="4" w:space="0" w:color="auto"/>
              <w:right w:val="single" w:sz="4" w:space="0" w:color="auto"/>
            </w:tcBorders>
          </w:tcPr>
          <w:p w14:paraId="24EE5135" w14:textId="7B8801C6" w:rsidR="00DE714F" w:rsidRPr="00DE714F" w:rsidRDefault="00DE714F" w:rsidP="00DE714F">
            <w:pPr>
              <w:jc w:val="center"/>
              <w:rPr>
                <w:sz w:val="22"/>
                <w:szCs w:val="22"/>
              </w:rPr>
            </w:pPr>
            <w:r w:rsidRPr="00DE714F">
              <w:rPr>
                <w:color w:val="000000"/>
                <w:sz w:val="22"/>
                <w:szCs w:val="22"/>
              </w:rPr>
              <w:t>September 10 –September 20 (During scheduled class hour)</w:t>
            </w:r>
          </w:p>
        </w:tc>
        <w:tc>
          <w:tcPr>
            <w:tcW w:w="1437" w:type="dxa"/>
            <w:tcBorders>
              <w:top w:val="single" w:sz="4" w:space="0" w:color="auto"/>
              <w:left w:val="single" w:sz="4" w:space="0" w:color="auto"/>
              <w:bottom w:val="single" w:sz="4" w:space="0" w:color="auto"/>
              <w:right w:val="single" w:sz="4" w:space="0" w:color="auto"/>
            </w:tcBorders>
          </w:tcPr>
          <w:p w14:paraId="65AE15D9" w14:textId="77777777" w:rsidR="00DE714F" w:rsidRPr="003632EC" w:rsidRDefault="00DE714F" w:rsidP="00DE714F">
            <w:pPr>
              <w:suppressAutoHyphens/>
              <w:spacing w:before="120"/>
              <w:jc w:val="both"/>
              <w:rPr>
                <w:bCs/>
                <w:spacing w:val="-2"/>
              </w:rPr>
            </w:pPr>
            <w:r>
              <w:rPr>
                <w:bCs/>
                <w:spacing w:val="-2"/>
              </w:rPr>
              <w:t>O</w:t>
            </w:r>
            <w:r w:rsidRPr="003632EC">
              <w:rPr>
                <w:bCs/>
                <w:spacing w:val="-2"/>
              </w:rPr>
              <w:t>B</w:t>
            </w:r>
          </w:p>
        </w:tc>
      </w:tr>
      <w:tr w:rsidR="00DE714F" w:rsidRPr="003632EC" w14:paraId="4A7211E9" w14:textId="77777777" w:rsidTr="00DE714F">
        <w:tc>
          <w:tcPr>
            <w:tcW w:w="641" w:type="dxa"/>
            <w:tcBorders>
              <w:top w:val="single" w:sz="4" w:space="0" w:color="auto"/>
              <w:left w:val="single" w:sz="4" w:space="0" w:color="auto"/>
              <w:bottom w:val="single" w:sz="4" w:space="0" w:color="auto"/>
              <w:right w:val="single" w:sz="4" w:space="0" w:color="auto"/>
            </w:tcBorders>
          </w:tcPr>
          <w:p w14:paraId="413D47AF" w14:textId="77777777" w:rsidR="00DE714F" w:rsidRPr="003632EC" w:rsidRDefault="00DE714F" w:rsidP="00DE714F">
            <w:pPr>
              <w:suppressAutoHyphens/>
              <w:spacing w:before="120"/>
              <w:jc w:val="both"/>
              <w:rPr>
                <w:bCs/>
                <w:spacing w:val="-2"/>
              </w:rPr>
            </w:pPr>
            <w:r>
              <w:rPr>
                <w:bCs/>
                <w:spacing w:val="-2"/>
              </w:rPr>
              <w:t>2.</w:t>
            </w:r>
          </w:p>
        </w:tc>
        <w:tc>
          <w:tcPr>
            <w:tcW w:w="2547" w:type="dxa"/>
            <w:tcBorders>
              <w:top w:val="single" w:sz="4" w:space="0" w:color="auto"/>
              <w:left w:val="single" w:sz="4" w:space="0" w:color="auto"/>
              <w:bottom w:val="single" w:sz="4" w:space="0" w:color="auto"/>
              <w:right w:val="single" w:sz="4" w:space="0" w:color="auto"/>
            </w:tcBorders>
          </w:tcPr>
          <w:p w14:paraId="66F3E767" w14:textId="77777777" w:rsidR="00DE714F" w:rsidRPr="00387F2C" w:rsidRDefault="00DE714F" w:rsidP="00DE714F">
            <w:pPr>
              <w:tabs>
                <w:tab w:val="left" w:pos="0"/>
              </w:tabs>
              <w:suppressAutoHyphens/>
              <w:rPr>
                <w:spacing w:val="-3"/>
              </w:rPr>
            </w:pPr>
            <w:r>
              <w:rPr>
                <w:spacing w:val="-3"/>
              </w:rPr>
              <w:t>Test  2</w:t>
            </w:r>
          </w:p>
        </w:tc>
        <w:tc>
          <w:tcPr>
            <w:tcW w:w="1498" w:type="dxa"/>
            <w:tcBorders>
              <w:top w:val="single" w:sz="4" w:space="0" w:color="auto"/>
              <w:left w:val="single" w:sz="4" w:space="0" w:color="auto"/>
              <w:bottom w:val="single" w:sz="4" w:space="0" w:color="auto"/>
              <w:right w:val="single" w:sz="4" w:space="0" w:color="auto"/>
            </w:tcBorders>
          </w:tcPr>
          <w:p w14:paraId="36014AA9" w14:textId="77777777" w:rsidR="00DE714F" w:rsidRPr="00387F2C" w:rsidRDefault="00DE714F" w:rsidP="00DE714F">
            <w:pPr>
              <w:tabs>
                <w:tab w:val="left" w:pos="0"/>
              </w:tabs>
              <w:suppressAutoHyphens/>
              <w:jc w:val="center"/>
              <w:rPr>
                <w:spacing w:val="-3"/>
              </w:rPr>
            </w:pPr>
            <w:r>
              <w:rPr>
                <w:spacing w:val="-3"/>
              </w:rPr>
              <w:t xml:space="preserve"> 30 min.</w:t>
            </w:r>
          </w:p>
        </w:tc>
        <w:tc>
          <w:tcPr>
            <w:tcW w:w="1483" w:type="dxa"/>
            <w:tcBorders>
              <w:top w:val="single" w:sz="4" w:space="0" w:color="auto"/>
              <w:left w:val="single" w:sz="4" w:space="0" w:color="auto"/>
              <w:bottom w:val="single" w:sz="4" w:space="0" w:color="auto"/>
              <w:right w:val="single" w:sz="4" w:space="0" w:color="auto"/>
            </w:tcBorders>
          </w:tcPr>
          <w:p w14:paraId="6A9A12FA" w14:textId="77777777" w:rsidR="00DE714F" w:rsidRPr="00387F2C" w:rsidRDefault="00DE714F" w:rsidP="00DE714F">
            <w:pPr>
              <w:tabs>
                <w:tab w:val="left" w:pos="0"/>
              </w:tabs>
              <w:suppressAutoHyphens/>
              <w:jc w:val="center"/>
              <w:rPr>
                <w:spacing w:val="-3"/>
              </w:rPr>
            </w:pPr>
            <w:r>
              <w:rPr>
                <w:spacing w:val="-3"/>
              </w:rPr>
              <w:t>15</w:t>
            </w:r>
          </w:p>
        </w:tc>
        <w:tc>
          <w:tcPr>
            <w:tcW w:w="2582" w:type="dxa"/>
            <w:tcBorders>
              <w:top w:val="single" w:sz="4" w:space="0" w:color="auto"/>
              <w:left w:val="single" w:sz="4" w:space="0" w:color="auto"/>
              <w:bottom w:val="single" w:sz="4" w:space="0" w:color="auto"/>
              <w:right w:val="single" w:sz="4" w:space="0" w:color="auto"/>
            </w:tcBorders>
          </w:tcPr>
          <w:p w14:paraId="33D6FC01" w14:textId="7369BD10" w:rsidR="00DE714F" w:rsidRPr="00DE714F" w:rsidRDefault="00DE714F" w:rsidP="00DE714F">
            <w:pPr>
              <w:jc w:val="center"/>
              <w:rPr>
                <w:sz w:val="22"/>
                <w:szCs w:val="22"/>
              </w:rPr>
            </w:pPr>
            <w:r w:rsidRPr="00DE714F">
              <w:rPr>
                <w:color w:val="000000"/>
                <w:sz w:val="22"/>
                <w:szCs w:val="22"/>
              </w:rPr>
              <w:t>October 09 –October 20 (During scheduled class hour)</w:t>
            </w:r>
          </w:p>
        </w:tc>
        <w:tc>
          <w:tcPr>
            <w:tcW w:w="1437" w:type="dxa"/>
            <w:tcBorders>
              <w:top w:val="single" w:sz="4" w:space="0" w:color="auto"/>
              <w:left w:val="single" w:sz="4" w:space="0" w:color="auto"/>
              <w:bottom w:val="single" w:sz="4" w:space="0" w:color="auto"/>
              <w:right w:val="single" w:sz="4" w:space="0" w:color="auto"/>
            </w:tcBorders>
          </w:tcPr>
          <w:p w14:paraId="598E7D84" w14:textId="77777777" w:rsidR="00DE714F" w:rsidRPr="003632EC" w:rsidRDefault="00DE714F" w:rsidP="00DE714F">
            <w:pPr>
              <w:suppressAutoHyphens/>
              <w:spacing w:before="120"/>
              <w:jc w:val="both"/>
              <w:rPr>
                <w:bCs/>
                <w:spacing w:val="-2"/>
              </w:rPr>
            </w:pPr>
            <w:r>
              <w:rPr>
                <w:bCs/>
                <w:spacing w:val="-2"/>
              </w:rPr>
              <w:t>OB</w:t>
            </w:r>
          </w:p>
        </w:tc>
      </w:tr>
      <w:tr w:rsidR="00DE714F" w:rsidRPr="003632EC" w14:paraId="6D3D30F4" w14:textId="77777777" w:rsidTr="00DE714F">
        <w:tc>
          <w:tcPr>
            <w:tcW w:w="641" w:type="dxa"/>
            <w:tcBorders>
              <w:top w:val="single" w:sz="4" w:space="0" w:color="auto"/>
              <w:left w:val="single" w:sz="4" w:space="0" w:color="auto"/>
              <w:bottom w:val="single" w:sz="4" w:space="0" w:color="auto"/>
              <w:right w:val="single" w:sz="4" w:space="0" w:color="auto"/>
            </w:tcBorders>
          </w:tcPr>
          <w:p w14:paraId="1525F323" w14:textId="77777777" w:rsidR="00DE714F" w:rsidRDefault="00DE714F" w:rsidP="00DE714F">
            <w:pPr>
              <w:suppressAutoHyphens/>
              <w:spacing w:before="120"/>
              <w:jc w:val="both"/>
              <w:rPr>
                <w:bCs/>
                <w:spacing w:val="-2"/>
              </w:rPr>
            </w:pPr>
            <w:r>
              <w:rPr>
                <w:bCs/>
                <w:spacing w:val="-2"/>
              </w:rPr>
              <w:t>3</w:t>
            </w:r>
          </w:p>
        </w:tc>
        <w:tc>
          <w:tcPr>
            <w:tcW w:w="2547" w:type="dxa"/>
            <w:tcBorders>
              <w:top w:val="single" w:sz="4" w:space="0" w:color="auto"/>
              <w:left w:val="single" w:sz="4" w:space="0" w:color="auto"/>
              <w:bottom w:val="single" w:sz="4" w:space="0" w:color="auto"/>
              <w:right w:val="single" w:sz="4" w:space="0" w:color="auto"/>
            </w:tcBorders>
          </w:tcPr>
          <w:p w14:paraId="6BED30DF" w14:textId="77777777" w:rsidR="00DE714F" w:rsidRPr="00387F2C" w:rsidRDefault="00DE714F" w:rsidP="00DE714F">
            <w:pPr>
              <w:tabs>
                <w:tab w:val="left" w:pos="0"/>
              </w:tabs>
              <w:suppressAutoHyphens/>
              <w:rPr>
                <w:spacing w:val="-3"/>
              </w:rPr>
            </w:pPr>
            <w:r>
              <w:rPr>
                <w:spacing w:val="-3"/>
              </w:rPr>
              <w:t>Test  3</w:t>
            </w:r>
          </w:p>
        </w:tc>
        <w:tc>
          <w:tcPr>
            <w:tcW w:w="1498" w:type="dxa"/>
            <w:tcBorders>
              <w:top w:val="single" w:sz="4" w:space="0" w:color="auto"/>
              <w:left w:val="single" w:sz="4" w:space="0" w:color="auto"/>
              <w:bottom w:val="single" w:sz="4" w:space="0" w:color="auto"/>
              <w:right w:val="single" w:sz="4" w:space="0" w:color="auto"/>
            </w:tcBorders>
          </w:tcPr>
          <w:p w14:paraId="0578CCD5" w14:textId="77777777" w:rsidR="00DE714F" w:rsidRPr="00387F2C" w:rsidRDefault="00DE714F" w:rsidP="00DE714F">
            <w:pPr>
              <w:tabs>
                <w:tab w:val="left" w:pos="0"/>
              </w:tabs>
              <w:suppressAutoHyphens/>
              <w:jc w:val="center"/>
              <w:rPr>
                <w:spacing w:val="-3"/>
              </w:rPr>
            </w:pPr>
            <w:r>
              <w:rPr>
                <w:spacing w:val="-3"/>
              </w:rPr>
              <w:t xml:space="preserve"> 30 min.</w:t>
            </w:r>
          </w:p>
        </w:tc>
        <w:tc>
          <w:tcPr>
            <w:tcW w:w="1483" w:type="dxa"/>
            <w:tcBorders>
              <w:top w:val="single" w:sz="4" w:space="0" w:color="auto"/>
              <w:left w:val="single" w:sz="4" w:space="0" w:color="auto"/>
              <w:bottom w:val="single" w:sz="4" w:space="0" w:color="auto"/>
              <w:right w:val="single" w:sz="4" w:space="0" w:color="auto"/>
            </w:tcBorders>
          </w:tcPr>
          <w:p w14:paraId="0656B790" w14:textId="77777777" w:rsidR="00DE714F" w:rsidRPr="00387F2C" w:rsidRDefault="00DE714F" w:rsidP="00DE714F">
            <w:pPr>
              <w:tabs>
                <w:tab w:val="left" w:pos="0"/>
              </w:tabs>
              <w:suppressAutoHyphens/>
              <w:jc w:val="center"/>
              <w:rPr>
                <w:spacing w:val="-3"/>
              </w:rPr>
            </w:pPr>
            <w:r>
              <w:rPr>
                <w:spacing w:val="-3"/>
              </w:rPr>
              <w:t>15</w:t>
            </w:r>
          </w:p>
        </w:tc>
        <w:tc>
          <w:tcPr>
            <w:tcW w:w="2582" w:type="dxa"/>
            <w:tcBorders>
              <w:top w:val="single" w:sz="4" w:space="0" w:color="auto"/>
              <w:left w:val="single" w:sz="4" w:space="0" w:color="auto"/>
              <w:bottom w:val="single" w:sz="4" w:space="0" w:color="auto"/>
              <w:right w:val="single" w:sz="4" w:space="0" w:color="auto"/>
            </w:tcBorders>
          </w:tcPr>
          <w:p w14:paraId="47CCBAEC" w14:textId="69078D67" w:rsidR="00DE714F" w:rsidRPr="00DE714F" w:rsidRDefault="00DE714F" w:rsidP="00DE714F">
            <w:pPr>
              <w:jc w:val="center"/>
              <w:rPr>
                <w:sz w:val="22"/>
                <w:szCs w:val="22"/>
              </w:rPr>
            </w:pPr>
            <w:r w:rsidRPr="00DE714F">
              <w:rPr>
                <w:color w:val="000000"/>
                <w:sz w:val="22"/>
                <w:szCs w:val="22"/>
              </w:rPr>
              <w:t>November 10 – November 20 (During scheduled class hour)</w:t>
            </w:r>
          </w:p>
        </w:tc>
        <w:tc>
          <w:tcPr>
            <w:tcW w:w="1437" w:type="dxa"/>
            <w:tcBorders>
              <w:top w:val="single" w:sz="4" w:space="0" w:color="auto"/>
              <w:left w:val="single" w:sz="4" w:space="0" w:color="auto"/>
              <w:bottom w:val="single" w:sz="4" w:space="0" w:color="auto"/>
              <w:right w:val="single" w:sz="4" w:space="0" w:color="auto"/>
            </w:tcBorders>
          </w:tcPr>
          <w:p w14:paraId="142BBEA3" w14:textId="77777777" w:rsidR="00DE714F" w:rsidRPr="003632EC" w:rsidRDefault="00DE714F" w:rsidP="00DE714F">
            <w:pPr>
              <w:suppressAutoHyphens/>
              <w:spacing w:before="120"/>
              <w:jc w:val="both"/>
              <w:rPr>
                <w:bCs/>
                <w:spacing w:val="-2"/>
              </w:rPr>
            </w:pPr>
            <w:r>
              <w:rPr>
                <w:bCs/>
                <w:spacing w:val="-2"/>
              </w:rPr>
              <w:t>OB</w:t>
            </w:r>
          </w:p>
        </w:tc>
      </w:tr>
      <w:tr w:rsidR="00DD7558" w:rsidRPr="003632EC" w14:paraId="542EC64C" w14:textId="77777777" w:rsidTr="00DE714F">
        <w:tc>
          <w:tcPr>
            <w:tcW w:w="641" w:type="dxa"/>
            <w:tcBorders>
              <w:top w:val="single" w:sz="4" w:space="0" w:color="auto"/>
              <w:left w:val="single" w:sz="4" w:space="0" w:color="auto"/>
              <w:bottom w:val="single" w:sz="4" w:space="0" w:color="auto"/>
              <w:right w:val="single" w:sz="4" w:space="0" w:color="auto"/>
            </w:tcBorders>
          </w:tcPr>
          <w:p w14:paraId="5F8BF441" w14:textId="77777777" w:rsidR="00DD7558" w:rsidRPr="003632EC" w:rsidRDefault="00DD7558" w:rsidP="00627D41">
            <w:pPr>
              <w:suppressAutoHyphens/>
              <w:spacing w:before="120"/>
              <w:jc w:val="both"/>
              <w:rPr>
                <w:bCs/>
                <w:spacing w:val="-2"/>
              </w:rPr>
            </w:pPr>
            <w:r>
              <w:rPr>
                <w:bCs/>
                <w:spacing w:val="-2"/>
              </w:rPr>
              <w:t>3.</w:t>
            </w:r>
          </w:p>
        </w:tc>
        <w:tc>
          <w:tcPr>
            <w:tcW w:w="2547" w:type="dxa"/>
            <w:tcBorders>
              <w:top w:val="single" w:sz="4" w:space="0" w:color="auto"/>
              <w:left w:val="single" w:sz="4" w:space="0" w:color="auto"/>
              <w:bottom w:val="single" w:sz="4" w:space="0" w:color="auto"/>
              <w:right w:val="single" w:sz="4" w:space="0" w:color="auto"/>
            </w:tcBorders>
          </w:tcPr>
          <w:p w14:paraId="172645F2" w14:textId="77777777" w:rsidR="00DD7558" w:rsidRPr="00387F2C" w:rsidRDefault="00DD7558" w:rsidP="006C7BDE">
            <w:pPr>
              <w:tabs>
                <w:tab w:val="left" w:pos="0"/>
              </w:tabs>
              <w:suppressAutoHyphens/>
              <w:rPr>
                <w:spacing w:val="-3"/>
              </w:rPr>
            </w:pPr>
            <w:r>
              <w:rPr>
                <w:spacing w:val="-3"/>
              </w:rPr>
              <w:t xml:space="preserve">Assignment/Presentation  </w:t>
            </w:r>
            <w:r w:rsidR="006C7BDE">
              <w:rPr>
                <w:spacing w:val="-3"/>
              </w:rPr>
              <w:t>(2-4)</w:t>
            </w:r>
            <w:r>
              <w:rPr>
                <w:spacing w:val="-3"/>
              </w:rPr>
              <w:t xml:space="preserve"> </w:t>
            </w:r>
          </w:p>
        </w:tc>
        <w:tc>
          <w:tcPr>
            <w:tcW w:w="1498" w:type="dxa"/>
            <w:tcBorders>
              <w:top w:val="single" w:sz="4" w:space="0" w:color="auto"/>
              <w:left w:val="single" w:sz="4" w:space="0" w:color="auto"/>
              <w:bottom w:val="single" w:sz="4" w:space="0" w:color="auto"/>
              <w:right w:val="single" w:sz="4" w:space="0" w:color="auto"/>
            </w:tcBorders>
          </w:tcPr>
          <w:p w14:paraId="325610B5" w14:textId="77777777" w:rsidR="00DD7558" w:rsidRPr="00387F2C" w:rsidRDefault="00DD7558" w:rsidP="00627D41">
            <w:pPr>
              <w:tabs>
                <w:tab w:val="left" w:pos="0"/>
              </w:tabs>
              <w:suppressAutoHyphens/>
              <w:jc w:val="center"/>
              <w:rPr>
                <w:spacing w:val="-3"/>
              </w:rPr>
            </w:pPr>
            <w:r>
              <w:rPr>
                <w:spacing w:val="-3"/>
              </w:rPr>
              <w:t>-</w:t>
            </w:r>
          </w:p>
        </w:tc>
        <w:tc>
          <w:tcPr>
            <w:tcW w:w="1483" w:type="dxa"/>
            <w:tcBorders>
              <w:top w:val="single" w:sz="4" w:space="0" w:color="auto"/>
              <w:left w:val="single" w:sz="4" w:space="0" w:color="auto"/>
              <w:bottom w:val="single" w:sz="4" w:space="0" w:color="auto"/>
              <w:right w:val="single" w:sz="4" w:space="0" w:color="auto"/>
            </w:tcBorders>
          </w:tcPr>
          <w:p w14:paraId="2ACBC7A5" w14:textId="77777777" w:rsidR="00DD7558" w:rsidRPr="00387F2C" w:rsidRDefault="00DD7558" w:rsidP="00627D41">
            <w:pPr>
              <w:tabs>
                <w:tab w:val="left" w:pos="0"/>
              </w:tabs>
              <w:suppressAutoHyphens/>
              <w:jc w:val="center"/>
              <w:rPr>
                <w:spacing w:val="-3"/>
              </w:rPr>
            </w:pPr>
            <w:r>
              <w:rPr>
                <w:spacing w:val="-3"/>
              </w:rPr>
              <w:t>30</w:t>
            </w:r>
          </w:p>
        </w:tc>
        <w:tc>
          <w:tcPr>
            <w:tcW w:w="2582" w:type="dxa"/>
            <w:tcBorders>
              <w:top w:val="single" w:sz="4" w:space="0" w:color="auto"/>
              <w:left w:val="single" w:sz="4" w:space="0" w:color="auto"/>
              <w:bottom w:val="single" w:sz="4" w:space="0" w:color="auto"/>
              <w:right w:val="single" w:sz="4" w:space="0" w:color="auto"/>
            </w:tcBorders>
          </w:tcPr>
          <w:p w14:paraId="66B6E140" w14:textId="77777777" w:rsidR="00DD7558" w:rsidRPr="000D70D6" w:rsidRDefault="00DD7558" w:rsidP="00627D41">
            <w:pPr>
              <w:suppressAutoHyphens/>
              <w:spacing w:before="120"/>
              <w:jc w:val="center"/>
              <w:rPr>
                <w:bCs/>
                <w:color w:val="FF0000"/>
                <w:spacing w:val="-2"/>
                <w:szCs w:val="20"/>
              </w:rPr>
            </w:pPr>
            <w:r w:rsidRPr="000D70D6">
              <w:rPr>
                <w:bCs/>
                <w:spacing w:val="-2"/>
                <w:szCs w:val="20"/>
              </w:rPr>
              <w:t>To be announced</w:t>
            </w:r>
          </w:p>
        </w:tc>
        <w:tc>
          <w:tcPr>
            <w:tcW w:w="1437" w:type="dxa"/>
            <w:tcBorders>
              <w:top w:val="single" w:sz="4" w:space="0" w:color="auto"/>
              <w:left w:val="single" w:sz="4" w:space="0" w:color="auto"/>
              <w:bottom w:val="single" w:sz="4" w:space="0" w:color="auto"/>
              <w:right w:val="single" w:sz="4" w:space="0" w:color="auto"/>
            </w:tcBorders>
          </w:tcPr>
          <w:p w14:paraId="10EC4C10" w14:textId="77777777" w:rsidR="00DD7558" w:rsidRPr="003632EC" w:rsidRDefault="00DD7558" w:rsidP="00627D41">
            <w:pPr>
              <w:suppressAutoHyphens/>
              <w:spacing w:before="120"/>
              <w:jc w:val="both"/>
              <w:rPr>
                <w:bCs/>
                <w:spacing w:val="-2"/>
              </w:rPr>
            </w:pPr>
            <w:r>
              <w:rPr>
                <w:bCs/>
                <w:spacing w:val="-2"/>
              </w:rPr>
              <w:t>OB</w:t>
            </w:r>
          </w:p>
        </w:tc>
      </w:tr>
      <w:tr w:rsidR="00DD7558" w:rsidRPr="003632EC" w14:paraId="399D3805" w14:textId="77777777" w:rsidTr="00DE714F">
        <w:tc>
          <w:tcPr>
            <w:tcW w:w="641" w:type="dxa"/>
            <w:tcBorders>
              <w:top w:val="single" w:sz="4" w:space="0" w:color="auto"/>
              <w:left w:val="single" w:sz="4" w:space="0" w:color="auto"/>
              <w:bottom w:val="single" w:sz="4" w:space="0" w:color="auto"/>
              <w:right w:val="single" w:sz="4" w:space="0" w:color="auto"/>
            </w:tcBorders>
          </w:tcPr>
          <w:p w14:paraId="217A2C33" w14:textId="77777777" w:rsidR="00DD7558" w:rsidRPr="003632EC" w:rsidRDefault="00DD7558" w:rsidP="00627D41">
            <w:pPr>
              <w:suppressAutoHyphens/>
              <w:spacing w:before="120"/>
              <w:jc w:val="both"/>
              <w:rPr>
                <w:bCs/>
                <w:spacing w:val="-2"/>
              </w:rPr>
            </w:pPr>
            <w:r>
              <w:rPr>
                <w:bCs/>
                <w:spacing w:val="-2"/>
              </w:rPr>
              <w:t>4.</w:t>
            </w:r>
          </w:p>
        </w:tc>
        <w:tc>
          <w:tcPr>
            <w:tcW w:w="2547" w:type="dxa"/>
            <w:tcBorders>
              <w:top w:val="single" w:sz="4" w:space="0" w:color="auto"/>
              <w:left w:val="single" w:sz="4" w:space="0" w:color="auto"/>
              <w:bottom w:val="single" w:sz="4" w:space="0" w:color="auto"/>
              <w:right w:val="single" w:sz="4" w:space="0" w:color="auto"/>
            </w:tcBorders>
          </w:tcPr>
          <w:p w14:paraId="66FE6B27" w14:textId="77777777" w:rsidR="00DD7558" w:rsidRPr="00387F2C" w:rsidRDefault="00DD7558" w:rsidP="00627D41">
            <w:pPr>
              <w:rPr>
                <w:spacing w:val="-3"/>
              </w:rPr>
            </w:pPr>
            <w:r w:rsidRPr="00387F2C">
              <w:rPr>
                <w:spacing w:val="-3"/>
              </w:rPr>
              <w:t>Comp</w:t>
            </w:r>
            <w:r>
              <w:rPr>
                <w:spacing w:val="-3"/>
              </w:rPr>
              <w:t>rehensive</w:t>
            </w:r>
            <w:r w:rsidRPr="00387F2C">
              <w:rPr>
                <w:spacing w:val="-3"/>
              </w:rPr>
              <w:t xml:space="preserve"> Exam.</w:t>
            </w:r>
          </w:p>
        </w:tc>
        <w:tc>
          <w:tcPr>
            <w:tcW w:w="1498" w:type="dxa"/>
            <w:tcBorders>
              <w:top w:val="single" w:sz="4" w:space="0" w:color="auto"/>
              <w:left w:val="single" w:sz="4" w:space="0" w:color="auto"/>
              <w:bottom w:val="single" w:sz="4" w:space="0" w:color="auto"/>
              <w:right w:val="single" w:sz="4" w:space="0" w:color="auto"/>
            </w:tcBorders>
          </w:tcPr>
          <w:p w14:paraId="4961B413" w14:textId="77777777" w:rsidR="00DD7558" w:rsidRPr="00387F2C" w:rsidRDefault="00DD7558" w:rsidP="00627D41">
            <w:pPr>
              <w:jc w:val="center"/>
              <w:rPr>
                <w:spacing w:val="-3"/>
              </w:rPr>
            </w:pPr>
            <w:r w:rsidRPr="00387F2C">
              <w:rPr>
                <w:spacing w:val="-3"/>
              </w:rPr>
              <w:t>3 hrs.</w:t>
            </w:r>
          </w:p>
        </w:tc>
        <w:tc>
          <w:tcPr>
            <w:tcW w:w="1483" w:type="dxa"/>
            <w:tcBorders>
              <w:top w:val="single" w:sz="4" w:space="0" w:color="auto"/>
              <w:left w:val="single" w:sz="4" w:space="0" w:color="auto"/>
              <w:bottom w:val="single" w:sz="4" w:space="0" w:color="auto"/>
              <w:right w:val="single" w:sz="4" w:space="0" w:color="auto"/>
            </w:tcBorders>
          </w:tcPr>
          <w:p w14:paraId="44460EE0" w14:textId="77777777" w:rsidR="00DD7558" w:rsidRPr="00387F2C" w:rsidRDefault="00DD7558" w:rsidP="00627D41">
            <w:pPr>
              <w:jc w:val="center"/>
              <w:rPr>
                <w:spacing w:val="-3"/>
              </w:rPr>
            </w:pPr>
            <w:r>
              <w:rPr>
                <w:spacing w:val="-3"/>
              </w:rPr>
              <w:t>25</w:t>
            </w:r>
          </w:p>
        </w:tc>
        <w:tc>
          <w:tcPr>
            <w:tcW w:w="2582" w:type="dxa"/>
            <w:tcBorders>
              <w:top w:val="single" w:sz="4" w:space="0" w:color="auto"/>
              <w:left w:val="single" w:sz="4" w:space="0" w:color="auto"/>
              <w:bottom w:val="single" w:sz="4" w:space="0" w:color="auto"/>
              <w:right w:val="single" w:sz="4" w:space="0" w:color="auto"/>
            </w:tcBorders>
          </w:tcPr>
          <w:p w14:paraId="4EB57646" w14:textId="77777777" w:rsidR="00DD7558" w:rsidRPr="000D70D6" w:rsidRDefault="00DD7558" w:rsidP="00627D41">
            <w:pPr>
              <w:suppressAutoHyphens/>
              <w:spacing w:before="120"/>
              <w:jc w:val="center"/>
              <w:rPr>
                <w:bCs/>
                <w:color w:val="FF0000"/>
                <w:spacing w:val="-2"/>
                <w:szCs w:val="20"/>
              </w:rPr>
            </w:pPr>
            <w:r w:rsidRPr="006C7BDE">
              <w:rPr>
                <w:bCs/>
                <w:spacing w:val="-2"/>
                <w:szCs w:val="20"/>
              </w:rPr>
              <w:t>To be announced</w:t>
            </w:r>
          </w:p>
        </w:tc>
        <w:tc>
          <w:tcPr>
            <w:tcW w:w="1437" w:type="dxa"/>
            <w:tcBorders>
              <w:top w:val="single" w:sz="4" w:space="0" w:color="auto"/>
              <w:left w:val="single" w:sz="4" w:space="0" w:color="auto"/>
              <w:bottom w:val="single" w:sz="4" w:space="0" w:color="auto"/>
              <w:right w:val="single" w:sz="4" w:space="0" w:color="auto"/>
            </w:tcBorders>
          </w:tcPr>
          <w:p w14:paraId="22873F89" w14:textId="77777777" w:rsidR="00DD7558" w:rsidRPr="003632EC" w:rsidRDefault="00DD7558" w:rsidP="00627D41">
            <w:pPr>
              <w:suppressAutoHyphens/>
              <w:spacing w:before="120"/>
              <w:jc w:val="both"/>
              <w:rPr>
                <w:bCs/>
                <w:spacing w:val="-2"/>
              </w:rPr>
            </w:pPr>
            <w:r>
              <w:rPr>
                <w:bCs/>
                <w:spacing w:val="-2"/>
              </w:rPr>
              <w:t>OB</w:t>
            </w:r>
          </w:p>
        </w:tc>
      </w:tr>
    </w:tbl>
    <w:p w14:paraId="5F7AFC12" w14:textId="77777777" w:rsidR="00F15F6C" w:rsidRDefault="00F15F6C">
      <w:pPr>
        <w:spacing w:line="276" w:lineRule="auto"/>
        <w:jc w:val="both"/>
        <w:rPr>
          <w:rFonts w:ascii="Garamond" w:eastAsia="Garamond" w:hAnsi="Garamond" w:cs="Garamond"/>
          <w:b/>
        </w:rPr>
      </w:pPr>
    </w:p>
    <w:p w14:paraId="0C2519BB" w14:textId="77777777" w:rsidR="00F15F6C" w:rsidRDefault="00A32AD0">
      <w:pPr>
        <w:spacing w:line="360" w:lineRule="auto"/>
        <w:jc w:val="both"/>
        <w:rPr>
          <w:rFonts w:ascii="Garamond" w:eastAsia="Garamond" w:hAnsi="Garamond" w:cs="Garamond"/>
          <w:b/>
        </w:rPr>
      </w:pPr>
      <w:r>
        <w:rPr>
          <w:rFonts w:ascii="Garamond" w:eastAsia="Garamond" w:hAnsi="Garamond" w:cs="Garamond"/>
          <w:b/>
        </w:rPr>
        <w:t>6. Chamber Consultation Hour</w:t>
      </w:r>
      <w:r>
        <w:rPr>
          <w:rFonts w:ascii="Garamond" w:eastAsia="Garamond" w:hAnsi="Garamond" w:cs="Garamond"/>
        </w:rPr>
        <w:t xml:space="preserve">: </w:t>
      </w:r>
      <w:r w:rsidR="006C7BDE">
        <w:rPr>
          <w:rFonts w:ascii="Garamond" w:eastAsia="Garamond" w:hAnsi="Garamond" w:cs="Garamond"/>
        </w:rPr>
        <w:t xml:space="preserve"> Every Monday 5:00PM -6:00PM </w:t>
      </w:r>
    </w:p>
    <w:p w14:paraId="0658D096" w14:textId="77777777" w:rsidR="00F15F6C" w:rsidRDefault="00A32AD0">
      <w:pPr>
        <w:spacing w:line="276" w:lineRule="auto"/>
        <w:jc w:val="both"/>
        <w:rPr>
          <w:rFonts w:ascii="Garamond" w:eastAsia="Garamond" w:hAnsi="Garamond" w:cs="Garamond"/>
          <w:b/>
        </w:rPr>
      </w:pPr>
      <w:r>
        <w:rPr>
          <w:rFonts w:ascii="Garamond" w:eastAsia="Garamond" w:hAnsi="Garamond" w:cs="Garamond"/>
          <w:b/>
        </w:rPr>
        <w:t>7. Notices</w:t>
      </w:r>
      <w:r>
        <w:rPr>
          <w:rFonts w:ascii="Garamond" w:eastAsia="Garamond" w:hAnsi="Garamond" w:cs="Garamond"/>
        </w:rPr>
        <w:t>: Notices, if any, would be put on CMS</w:t>
      </w:r>
    </w:p>
    <w:p w14:paraId="1846C012" w14:textId="77777777" w:rsidR="00071F95" w:rsidRDefault="00A32AD0" w:rsidP="00071F95">
      <w:pPr>
        <w:spacing w:line="304" w:lineRule="exact"/>
        <w:jc w:val="both"/>
      </w:pPr>
      <w:r>
        <w:rPr>
          <w:rFonts w:ascii="Garamond" w:eastAsia="Garamond" w:hAnsi="Garamond" w:cs="Garamond"/>
          <w:b/>
          <w:color w:val="000000"/>
        </w:rPr>
        <w:t xml:space="preserve">8. </w:t>
      </w:r>
      <w:r w:rsidR="00071F95">
        <w:rPr>
          <w:b/>
          <w:bCs/>
          <w:sz w:val="22"/>
          <w:szCs w:val="22"/>
        </w:rPr>
        <w:t>Make-up Policy</w:t>
      </w:r>
      <w:r w:rsidR="00071F95">
        <w:rPr>
          <w:sz w:val="22"/>
          <w:szCs w:val="22"/>
        </w:rPr>
        <w:t>: Make-up will be granted only on genuine grounds and if prior permission is taken through official email only. Request for make up after the test/exam would not be entertained at all.</w:t>
      </w:r>
    </w:p>
    <w:p w14:paraId="6D432124" w14:textId="77777777"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9</w:t>
      </w:r>
      <w:r>
        <w:rPr>
          <w:rFonts w:ascii="Garamond" w:eastAsia="Garamond" w:hAnsi="Garamond" w:cs="Garamond"/>
          <w:color w:val="000000"/>
        </w:rPr>
        <w:t xml:space="preserve">. </w:t>
      </w:r>
      <w:r>
        <w:rPr>
          <w:rFonts w:ascii="Garamond" w:eastAsia="Garamond" w:hAnsi="Garamond" w:cs="Garamond"/>
          <w:b/>
          <w:color w:val="000000"/>
        </w:rPr>
        <w:t>Academic Honesty and Integrity Policy:</w:t>
      </w:r>
      <w:r>
        <w:rPr>
          <w:rFonts w:ascii="Garamond" w:eastAsia="Garamond" w:hAnsi="Garamond" w:cs="Garamond"/>
          <w:color w:val="000000"/>
        </w:rPr>
        <w:t xml:space="preserve"> Academic honesty and integrity are to be maintained by all the students throughout the semester and no type of academic dishonesty is acceptable.</w:t>
      </w:r>
    </w:p>
    <w:p w14:paraId="435B6188" w14:textId="77777777" w:rsidR="00F15F6C" w:rsidRDefault="00F15F6C">
      <w:pPr>
        <w:pBdr>
          <w:top w:val="nil"/>
          <w:left w:val="nil"/>
          <w:bottom w:val="nil"/>
          <w:right w:val="nil"/>
          <w:between w:val="nil"/>
        </w:pBdr>
        <w:spacing w:line="276" w:lineRule="auto"/>
        <w:ind w:left="360" w:hanging="360"/>
        <w:jc w:val="both"/>
        <w:rPr>
          <w:rFonts w:ascii="Garamond" w:eastAsia="Garamond" w:hAnsi="Garamond" w:cs="Garamond"/>
          <w:color w:val="000000"/>
          <w:sz w:val="20"/>
          <w:szCs w:val="20"/>
        </w:rPr>
      </w:pPr>
    </w:p>
    <w:p w14:paraId="23B97733" w14:textId="77777777" w:rsidR="00F15F6C" w:rsidRDefault="00A32AD0">
      <w:pPr>
        <w:spacing w:line="276" w:lineRule="auto"/>
        <w:jc w:val="right"/>
        <w:rPr>
          <w:rFonts w:ascii="Garamond" w:eastAsia="Garamond" w:hAnsi="Garamond" w:cs="Garamond"/>
          <w:b/>
        </w:rPr>
      </w:pPr>
      <w:bookmarkStart w:id="1" w:name="_GoBack"/>
      <w:bookmarkEnd w:id="1"/>
      <w:r>
        <w:rPr>
          <w:rFonts w:ascii="Garamond" w:eastAsia="Garamond" w:hAnsi="Garamond" w:cs="Garamond"/>
          <w:b/>
        </w:rPr>
        <w:t>Instructor-in-Charge</w:t>
      </w:r>
    </w:p>
    <w:p w14:paraId="1D1E9C5F" w14:textId="77777777" w:rsidR="00F15F6C" w:rsidRDefault="00A32AD0">
      <w:pPr>
        <w:spacing w:line="276" w:lineRule="auto"/>
        <w:jc w:val="center"/>
        <w:rPr>
          <w:rFonts w:ascii="Garamond" w:eastAsia="Garamond" w:hAnsi="Garamond" w:cs="Garamond"/>
        </w:rPr>
      </w:pP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 xml:space="preserve">             ECON F214</w:t>
      </w:r>
    </w:p>
    <w:p w14:paraId="3A61AEDF" w14:textId="77777777" w:rsidR="00F15F6C" w:rsidRDefault="00F15F6C">
      <w:pPr>
        <w:spacing w:line="276" w:lineRule="auto"/>
        <w:rPr>
          <w:rFonts w:ascii="Garamond" w:eastAsia="Garamond" w:hAnsi="Garamond" w:cs="Garamond"/>
        </w:rPr>
      </w:pPr>
    </w:p>
    <w:sectPr w:rsidR="00F15F6C">
      <w:footerReference w:type="default" r:id="rId8"/>
      <w:pgSz w:w="12240" w:h="15840"/>
      <w:pgMar w:top="81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0AB18" w14:textId="77777777" w:rsidR="009A22A5" w:rsidRDefault="009A22A5">
      <w:r>
        <w:separator/>
      </w:r>
    </w:p>
  </w:endnote>
  <w:endnote w:type="continuationSeparator" w:id="0">
    <w:p w14:paraId="07BA6E2D" w14:textId="77777777" w:rsidR="009A22A5" w:rsidRDefault="009A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61F2" w14:textId="77777777" w:rsidR="00F15F6C" w:rsidRDefault="00A32AD0">
    <w:pPr>
      <w:pBdr>
        <w:top w:val="nil"/>
        <w:left w:val="nil"/>
        <w:bottom w:val="nil"/>
        <w:right w:val="nil"/>
        <w:between w:val="nil"/>
      </w:pBdr>
      <w:tabs>
        <w:tab w:val="center" w:pos="4680"/>
        <w:tab w:val="right" w:pos="9360"/>
      </w:tabs>
      <w:ind w:left="-540"/>
      <w:rPr>
        <w:color w:val="000000"/>
      </w:rPr>
    </w:pPr>
    <w:r>
      <w:rPr>
        <w:noProof/>
        <w:color w:val="000000"/>
        <w:lang w:val="en-IN" w:eastAsia="en-IN"/>
      </w:rPr>
      <w:drawing>
        <wp:inline distT="0" distB="0" distL="0" distR="0" wp14:anchorId="2A212CF7" wp14:editId="55C6CF74">
          <wp:extent cx="163830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38300" cy="600075"/>
                  </a:xfrm>
                  <a:prstGeom prst="rect">
                    <a:avLst/>
                  </a:prstGeom>
                  <a:ln/>
                </pic:spPr>
              </pic:pic>
            </a:graphicData>
          </a:graphic>
        </wp:inline>
      </w:drawing>
    </w:r>
  </w:p>
  <w:p w14:paraId="460D4A58" w14:textId="77777777" w:rsidR="00F15F6C" w:rsidRDefault="00F15F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B5CD" w14:textId="77777777" w:rsidR="009A22A5" w:rsidRDefault="009A22A5">
      <w:r>
        <w:separator/>
      </w:r>
    </w:p>
  </w:footnote>
  <w:footnote w:type="continuationSeparator" w:id="0">
    <w:p w14:paraId="0A11ED85" w14:textId="77777777" w:rsidR="009A22A5" w:rsidRDefault="009A2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3BEB"/>
    <w:multiLevelType w:val="multilevel"/>
    <w:tmpl w:val="B8566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313215"/>
    <w:multiLevelType w:val="multilevel"/>
    <w:tmpl w:val="24EE25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6C"/>
    <w:rsid w:val="00071F95"/>
    <w:rsid w:val="00251B06"/>
    <w:rsid w:val="0057523F"/>
    <w:rsid w:val="006C7BDE"/>
    <w:rsid w:val="0071356F"/>
    <w:rsid w:val="0087304E"/>
    <w:rsid w:val="008B1602"/>
    <w:rsid w:val="009676B2"/>
    <w:rsid w:val="009A22A5"/>
    <w:rsid w:val="00A30CB5"/>
    <w:rsid w:val="00A32AD0"/>
    <w:rsid w:val="00C5722B"/>
    <w:rsid w:val="00CD0D22"/>
    <w:rsid w:val="00DD7558"/>
    <w:rsid w:val="00DE714F"/>
    <w:rsid w:val="00E33DF1"/>
    <w:rsid w:val="00EC0728"/>
    <w:rsid w:val="00F1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5345"/>
  <w15:docId w15:val="{150E8DB6-72EB-4863-AA65-1838F36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360" w:lineRule="auto"/>
      <w:ind w:left="432" w:hanging="432"/>
      <w:jc w:val="both"/>
      <w:outlineLvl w:val="0"/>
    </w:pPr>
    <w:rPr>
      <w:b/>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ind w:left="720" w:hanging="720"/>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B1602"/>
    <w:pPr>
      <w:tabs>
        <w:tab w:val="center" w:pos="4680"/>
        <w:tab w:val="right" w:pos="9360"/>
      </w:tabs>
    </w:pPr>
  </w:style>
  <w:style w:type="character" w:customStyle="1" w:styleId="HeaderChar">
    <w:name w:val="Header Char"/>
    <w:basedOn w:val="DefaultParagraphFont"/>
    <w:link w:val="Header"/>
    <w:uiPriority w:val="99"/>
    <w:rsid w:val="008B1602"/>
  </w:style>
  <w:style w:type="paragraph" w:styleId="Footer">
    <w:name w:val="footer"/>
    <w:basedOn w:val="Normal"/>
    <w:link w:val="FooterChar"/>
    <w:uiPriority w:val="99"/>
    <w:unhideWhenUsed/>
    <w:rsid w:val="008B1602"/>
    <w:pPr>
      <w:tabs>
        <w:tab w:val="center" w:pos="4680"/>
        <w:tab w:val="right" w:pos="9360"/>
      </w:tabs>
    </w:pPr>
  </w:style>
  <w:style w:type="character" w:customStyle="1" w:styleId="FooterChar">
    <w:name w:val="Footer Char"/>
    <w:basedOn w:val="DefaultParagraphFont"/>
    <w:link w:val="Footer"/>
    <w:uiPriority w:val="99"/>
    <w:rsid w:val="008B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946712">
      <w:bodyDiv w:val="1"/>
      <w:marLeft w:val="0"/>
      <w:marRight w:val="0"/>
      <w:marTop w:val="0"/>
      <w:marBottom w:val="0"/>
      <w:divBdr>
        <w:top w:val="none" w:sz="0" w:space="0" w:color="auto"/>
        <w:left w:val="none" w:sz="0" w:space="0" w:color="auto"/>
        <w:bottom w:val="none" w:sz="0" w:space="0" w:color="auto"/>
        <w:right w:val="none" w:sz="0" w:space="0" w:color="auto"/>
      </w:divBdr>
    </w:div>
    <w:div w:id="1154223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Varimadugu, Nagarjuna</cp:lastModifiedBy>
  <cp:revision>5</cp:revision>
  <dcterms:created xsi:type="dcterms:W3CDTF">2020-08-13T11:03:00Z</dcterms:created>
  <dcterms:modified xsi:type="dcterms:W3CDTF">2020-08-17T14:16:00Z</dcterms:modified>
</cp:coreProperties>
</file>