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59D" w:rsidRDefault="00B9172D">
      <w:pPr>
        <w:jc w:val="center"/>
        <w:rPr>
          <w:b/>
        </w:rPr>
      </w:pPr>
      <w:r>
        <w:rPr>
          <w:b/>
          <w:noProof/>
          <w:lang w:val="en-IN"/>
        </w:rPr>
        <w:drawing>
          <wp:inline distT="0" distB="0" distL="0" distR="0">
            <wp:extent cx="4924425" cy="895350"/>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895350"/>
                    </a:xfrm>
                    <a:prstGeom prst="rect">
                      <a:avLst/>
                    </a:prstGeom>
                    <a:ln/>
                  </pic:spPr>
                </pic:pic>
              </a:graphicData>
            </a:graphic>
          </wp:inline>
        </w:drawing>
      </w:r>
    </w:p>
    <w:p w:rsidR="003C459D" w:rsidRDefault="00B9172D">
      <w:pPr>
        <w:jc w:val="center"/>
        <w:rPr>
          <w:b/>
        </w:rPr>
      </w:pPr>
      <w:r>
        <w:rPr>
          <w:b/>
        </w:rPr>
        <w:t>SECOND SEMESTER 2020-2021</w:t>
      </w:r>
    </w:p>
    <w:p w:rsidR="003C459D" w:rsidRDefault="00B9172D">
      <w:pPr>
        <w:pStyle w:val="Heading1"/>
        <w:jc w:val="center"/>
      </w:pPr>
      <w:r>
        <w:t>Course Handout Part II</w:t>
      </w:r>
    </w:p>
    <w:p w:rsidR="003C459D" w:rsidRDefault="00F03915">
      <w:pPr>
        <w:jc w:val="right"/>
      </w:pPr>
      <w:r>
        <w:tab/>
      </w:r>
      <w:r>
        <w:tab/>
      </w:r>
      <w:r>
        <w:tab/>
      </w:r>
      <w:r>
        <w:tab/>
      </w:r>
      <w:r>
        <w:tab/>
      </w:r>
      <w:r>
        <w:tab/>
      </w:r>
      <w:r>
        <w:tab/>
      </w:r>
      <w:r>
        <w:tab/>
      </w:r>
      <w:r>
        <w:tab/>
      </w:r>
      <w:r>
        <w:tab/>
        <w:t xml:space="preserve">    Date: 16</w:t>
      </w:r>
      <w:r w:rsidR="00B9172D">
        <w:t xml:space="preserve">-01-2021 </w:t>
      </w:r>
    </w:p>
    <w:p w:rsidR="003C459D" w:rsidRDefault="00B9172D">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3C459D" w:rsidRDefault="003C459D">
      <w:pPr>
        <w:rPr>
          <w:i/>
        </w:rPr>
      </w:pPr>
    </w:p>
    <w:p w:rsidR="003C459D" w:rsidRDefault="00B9172D">
      <w:r>
        <w:rPr>
          <w:i/>
        </w:rPr>
        <w:t>Course No.</w:t>
      </w:r>
      <w:r>
        <w:tab/>
      </w:r>
      <w:r>
        <w:tab/>
      </w:r>
      <w:r>
        <w:tab/>
        <w:t xml:space="preserve">: </w:t>
      </w:r>
      <w:r>
        <w:rPr>
          <w:i/>
        </w:rPr>
        <w:t xml:space="preserve"> </w:t>
      </w:r>
      <w:r>
        <w:t>HSS F232</w:t>
      </w:r>
    </w:p>
    <w:p w:rsidR="003C459D" w:rsidRDefault="00B9172D">
      <w:pPr>
        <w:pStyle w:val="Heading2"/>
        <w:rPr>
          <w:b/>
          <w:i w:val="0"/>
        </w:rPr>
      </w:pPr>
      <w:r>
        <w:t>Course Title</w:t>
      </w:r>
      <w:r>
        <w:rPr>
          <w:i w:val="0"/>
        </w:rPr>
        <w:tab/>
      </w:r>
      <w:r>
        <w:rPr>
          <w:i w:val="0"/>
        </w:rPr>
        <w:tab/>
      </w:r>
      <w:r>
        <w:rPr>
          <w:i w:val="0"/>
        </w:rPr>
        <w:tab/>
        <w:t>:  Introduction to Development Studies</w:t>
      </w:r>
    </w:p>
    <w:p w:rsidR="003C459D" w:rsidRDefault="00B9172D">
      <w:pPr>
        <w:pStyle w:val="Heading2"/>
        <w:rPr>
          <w:i w:val="0"/>
        </w:rPr>
      </w:pPr>
      <w:r>
        <w:t>Instructor-in-Charge</w:t>
      </w:r>
      <w:r>
        <w:rPr>
          <w:i w:val="0"/>
        </w:rPr>
        <w:tab/>
      </w:r>
      <w:r>
        <w:rPr>
          <w:i w:val="0"/>
        </w:rPr>
        <w:tab/>
        <w:t xml:space="preserve">:  </w:t>
      </w:r>
      <w:proofErr w:type="spellStart"/>
      <w:r>
        <w:rPr>
          <w:i w:val="0"/>
        </w:rPr>
        <w:t>Suchismita</w:t>
      </w:r>
      <w:proofErr w:type="spellEnd"/>
      <w:r>
        <w:rPr>
          <w:i w:val="0"/>
        </w:rPr>
        <w:t xml:space="preserve"> </w:t>
      </w:r>
      <w:proofErr w:type="spellStart"/>
      <w:r>
        <w:rPr>
          <w:i w:val="0"/>
        </w:rPr>
        <w:t>Satpathy</w:t>
      </w:r>
      <w:proofErr w:type="spellEnd"/>
    </w:p>
    <w:p w:rsidR="003C459D" w:rsidRDefault="003C459D"/>
    <w:p w:rsidR="003C459D" w:rsidRDefault="00B9172D">
      <w:pPr>
        <w:jc w:val="both"/>
        <w:rPr>
          <w:b/>
        </w:rPr>
      </w:pPr>
      <w:r>
        <w:rPr>
          <w:b/>
        </w:rPr>
        <w:t xml:space="preserve">Scope and Objective of the Course: </w:t>
      </w:r>
      <w:r>
        <w:t xml:space="preserve">This </w:t>
      </w:r>
      <w:r>
        <w:rPr>
          <w:highlight w:val="white"/>
        </w:rPr>
        <w:t xml:space="preserve">inter-disciplinary course </w:t>
      </w:r>
      <w:r>
        <w:t>introduces students to the history, meanings and theories of development and exam</w:t>
      </w:r>
      <w:r>
        <w:t>ines how these theories have been applied to different countries and to different aspects of ‘development’ and in doing so, discusses and evaluates India’s development record in comparison to other developing countries. The objective is to familiarize stud</w:t>
      </w:r>
      <w:r>
        <w:t>ents with the conceptual, theoretical and empirical tools to understand and appreciate the multi-faceted aspects of development, to question received wisdom, and perhaps contribute in small ways to building a more humane society.</w:t>
      </w:r>
    </w:p>
    <w:p w:rsidR="003C459D" w:rsidRDefault="003C459D">
      <w:pPr>
        <w:jc w:val="both"/>
        <w:rPr>
          <w:color w:val="000000"/>
        </w:rPr>
      </w:pPr>
    </w:p>
    <w:p w:rsidR="003C459D" w:rsidRDefault="00B9172D">
      <w:pPr>
        <w:pBdr>
          <w:top w:val="nil"/>
          <w:left w:val="nil"/>
          <w:bottom w:val="nil"/>
          <w:right w:val="nil"/>
          <w:between w:val="nil"/>
        </w:pBdr>
        <w:jc w:val="both"/>
        <w:rPr>
          <w:color w:val="000000"/>
        </w:rPr>
      </w:pPr>
      <w:r>
        <w:rPr>
          <w:b/>
          <w:color w:val="000000"/>
        </w:rPr>
        <w:t>Textbooks:</w:t>
      </w:r>
    </w:p>
    <w:p w:rsidR="003C459D" w:rsidRDefault="00B9172D">
      <w:pPr>
        <w:numPr>
          <w:ilvl w:val="0"/>
          <w:numId w:val="1"/>
        </w:numPr>
        <w:pBdr>
          <w:top w:val="nil"/>
          <w:left w:val="nil"/>
          <w:bottom w:val="nil"/>
          <w:right w:val="nil"/>
          <w:between w:val="nil"/>
        </w:pBdr>
        <w:jc w:val="both"/>
      </w:pPr>
      <w:r>
        <w:t>Desai, V., and</w:t>
      </w:r>
      <w:r>
        <w:t xml:space="preserve"> Potter, R. B. (2014). Companion to Development Studies: Approaches, Actors and Issues (3</w:t>
      </w:r>
      <w:r>
        <w:rPr>
          <w:vertAlign w:val="superscript"/>
        </w:rPr>
        <w:t>rd</w:t>
      </w:r>
      <w:r>
        <w:t xml:space="preserve"> edition). London: Routledge.</w:t>
      </w:r>
    </w:p>
    <w:p w:rsidR="003C459D" w:rsidRDefault="00B9172D">
      <w:pPr>
        <w:numPr>
          <w:ilvl w:val="0"/>
          <w:numId w:val="1"/>
        </w:numPr>
        <w:pBdr>
          <w:top w:val="nil"/>
          <w:left w:val="nil"/>
          <w:bottom w:val="nil"/>
          <w:right w:val="nil"/>
          <w:between w:val="nil"/>
        </w:pBdr>
        <w:jc w:val="both"/>
      </w:pPr>
      <w:r>
        <w:t xml:space="preserve">Haslam, P.A., Schaffer, J., and </w:t>
      </w:r>
      <w:proofErr w:type="spellStart"/>
      <w:r>
        <w:t>Beaudet</w:t>
      </w:r>
      <w:proofErr w:type="spellEnd"/>
      <w:r>
        <w:t>, P. (2009). Introduction to International Development. New York: Oxford University Press.</w:t>
      </w:r>
    </w:p>
    <w:p w:rsidR="003C459D" w:rsidRDefault="003C459D">
      <w:pPr>
        <w:jc w:val="both"/>
      </w:pPr>
    </w:p>
    <w:p w:rsidR="003C459D" w:rsidRDefault="00B9172D">
      <w:pPr>
        <w:jc w:val="both"/>
        <w:rPr>
          <w:b/>
        </w:rPr>
      </w:pPr>
      <w:r>
        <w:rPr>
          <w:b/>
        </w:rPr>
        <w:t>Reference books</w:t>
      </w:r>
    </w:p>
    <w:p w:rsidR="003C459D" w:rsidRDefault="00B9172D">
      <w:pPr>
        <w:numPr>
          <w:ilvl w:val="2"/>
          <w:numId w:val="1"/>
        </w:numPr>
        <w:pBdr>
          <w:top w:val="nil"/>
          <w:left w:val="nil"/>
          <w:bottom w:val="nil"/>
          <w:right w:val="nil"/>
          <w:between w:val="nil"/>
        </w:pBdr>
        <w:ind w:left="720"/>
        <w:jc w:val="both"/>
        <w:rPr>
          <w:color w:val="000000"/>
          <w:highlight w:val="white"/>
        </w:rPr>
      </w:pPr>
      <w:proofErr w:type="spellStart"/>
      <w:r>
        <w:rPr>
          <w:color w:val="000000"/>
          <w:highlight w:val="white"/>
        </w:rPr>
        <w:t>Dreze</w:t>
      </w:r>
      <w:proofErr w:type="spellEnd"/>
      <w:r>
        <w:rPr>
          <w:color w:val="000000"/>
          <w:highlight w:val="white"/>
        </w:rPr>
        <w:t>, J., and Sen, A. (2013). An Uncertain Glory: India and Its Contradictions. New Delhi:</w:t>
      </w:r>
      <w:r>
        <w:rPr>
          <w:color w:val="000000"/>
        </w:rPr>
        <w:t xml:space="preserve"> Oxford University Press</w:t>
      </w:r>
      <w:r>
        <w:rPr>
          <w:color w:val="000000"/>
          <w:highlight w:val="white"/>
        </w:rPr>
        <w:t>.</w:t>
      </w:r>
    </w:p>
    <w:p w:rsidR="003C459D" w:rsidRDefault="00B9172D">
      <w:pPr>
        <w:numPr>
          <w:ilvl w:val="2"/>
          <w:numId w:val="1"/>
        </w:numPr>
        <w:pBdr>
          <w:top w:val="nil"/>
          <w:left w:val="nil"/>
          <w:bottom w:val="nil"/>
          <w:right w:val="nil"/>
          <w:between w:val="nil"/>
        </w:pBdr>
        <w:ind w:left="720"/>
        <w:jc w:val="both"/>
        <w:rPr>
          <w:color w:val="000000"/>
          <w:highlight w:val="white"/>
        </w:rPr>
      </w:pPr>
      <w:r>
        <w:rPr>
          <w:color w:val="000000"/>
          <w:highlight w:val="white"/>
        </w:rPr>
        <w:t>Nagaraj, R. (2012). Growth, Inequality and Social Development in India: Is Inclusive Growth Possible? London: Palgrave.</w:t>
      </w:r>
    </w:p>
    <w:p w:rsidR="003C459D" w:rsidRDefault="003C459D">
      <w:pPr>
        <w:jc w:val="both"/>
        <w:rPr>
          <w:b/>
        </w:rPr>
      </w:pPr>
    </w:p>
    <w:p w:rsidR="003C459D" w:rsidRDefault="00B9172D">
      <w:pPr>
        <w:jc w:val="both"/>
        <w:rPr>
          <w:b/>
        </w:rPr>
      </w:pPr>
      <w:r>
        <w:rPr>
          <w:b/>
        </w:rPr>
        <w:t>Course Plan:</w:t>
      </w:r>
    </w:p>
    <w:p w:rsidR="003C459D" w:rsidRDefault="003C459D">
      <w:pPr>
        <w:jc w:val="both"/>
        <w:rPr>
          <w:b/>
        </w:rPr>
      </w:pPr>
    </w:p>
    <w:tbl>
      <w:tblPr>
        <w:tblStyle w:val="a3"/>
        <w:tblW w:w="957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140"/>
        <w:gridCol w:w="3420"/>
        <w:gridCol w:w="3420"/>
        <w:gridCol w:w="1590"/>
      </w:tblGrid>
      <w:tr w:rsidR="003C459D">
        <w:trPr>
          <w:jc w:val="center"/>
        </w:trPr>
        <w:tc>
          <w:tcPr>
            <w:tcW w:w="11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C459D" w:rsidRDefault="00B9172D">
            <w:pPr>
              <w:jc w:val="center"/>
              <w:rPr>
                <w:b/>
                <w:sz w:val="22"/>
                <w:szCs w:val="22"/>
              </w:rPr>
            </w:pPr>
            <w:r>
              <w:rPr>
                <w:b/>
                <w:sz w:val="22"/>
                <w:szCs w:val="22"/>
              </w:rPr>
              <w:t>Lecture No.</w:t>
            </w:r>
          </w:p>
        </w:tc>
        <w:tc>
          <w:tcPr>
            <w:tcW w:w="34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C459D" w:rsidRDefault="00B9172D">
            <w:pPr>
              <w:jc w:val="center"/>
              <w:rPr>
                <w:b/>
                <w:sz w:val="22"/>
                <w:szCs w:val="22"/>
              </w:rPr>
            </w:pPr>
            <w:r>
              <w:rPr>
                <w:b/>
                <w:sz w:val="22"/>
                <w:szCs w:val="22"/>
              </w:rPr>
              <w:t>Learning objectives</w:t>
            </w:r>
          </w:p>
        </w:tc>
        <w:tc>
          <w:tcPr>
            <w:tcW w:w="34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C459D" w:rsidRDefault="00B9172D">
            <w:pPr>
              <w:jc w:val="center"/>
              <w:rPr>
                <w:b/>
                <w:sz w:val="22"/>
                <w:szCs w:val="22"/>
              </w:rPr>
            </w:pPr>
            <w:r>
              <w:rPr>
                <w:b/>
                <w:sz w:val="22"/>
                <w:szCs w:val="22"/>
              </w:rPr>
              <w:t>Topics to be covered</w:t>
            </w:r>
          </w:p>
        </w:tc>
        <w:tc>
          <w:tcPr>
            <w:tcW w:w="159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C459D" w:rsidRDefault="00B9172D">
            <w:pPr>
              <w:jc w:val="center"/>
              <w:rPr>
                <w:b/>
                <w:sz w:val="22"/>
                <w:szCs w:val="22"/>
              </w:rPr>
            </w:pPr>
            <w:r>
              <w:rPr>
                <w:b/>
                <w:sz w:val="22"/>
                <w:szCs w:val="22"/>
              </w:rPr>
              <w:t xml:space="preserve">Chapter in the </w:t>
            </w:r>
            <w:proofErr w:type="spellStart"/>
            <w:r>
              <w:rPr>
                <w:b/>
                <w:sz w:val="22"/>
                <w:szCs w:val="22"/>
              </w:rPr>
              <w:t>TextBook</w:t>
            </w:r>
            <w:proofErr w:type="spellEnd"/>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1</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Understand the History of development, meanings of development</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The context underlying the evolution of Development</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TB1. Chs.1.2-1.3</w:t>
            </w:r>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2-10</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Discuss the Key development</w:t>
            </w:r>
          </w:p>
          <w:p w:rsidR="003C459D" w:rsidRDefault="00B9172D">
            <w:r>
              <w:t xml:space="preserve">Thinkers. </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 xml:space="preserve">Smith, Marx, Liszt, Keynes, </w:t>
            </w:r>
            <w:proofErr w:type="spellStart"/>
            <w:r>
              <w:t>Prebisch</w:t>
            </w:r>
            <w:proofErr w:type="spellEnd"/>
            <w:r>
              <w:t xml:space="preserve">, Friedman </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 xml:space="preserve">RB </w:t>
            </w:r>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11-20</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proofErr w:type="spellStart"/>
            <w:r>
              <w:t>Analyse</w:t>
            </w:r>
            <w:proofErr w:type="spellEnd"/>
            <w:r>
              <w:t xml:space="preserve"> 20th century perspectives on development and assess the core aspects of non-conventional theories, their </w:t>
            </w:r>
            <w:r>
              <w:lastRenderedPageBreak/>
              <w:t>analytical differences, strategies for develo</w:t>
            </w:r>
            <w:r>
              <w:t>pment</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lastRenderedPageBreak/>
              <w:t>Dependency, modernization, human development, post- and anti-development</w:t>
            </w:r>
          </w:p>
          <w:p w:rsidR="003C459D" w:rsidRDefault="00B9172D">
            <w:r>
              <w:t>theories;</w:t>
            </w:r>
          </w:p>
          <w:p w:rsidR="003C459D" w:rsidRDefault="00B9172D">
            <w:r>
              <w:lastRenderedPageBreak/>
              <w:t>Marxism, socialism, dependency theories, post-development, alternatives to development</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lastRenderedPageBreak/>
              <w:t xml:space="preserve">TB1. </w:t>
            </w:r>
            <w:proofErr w:type="spellStart"/>
            <w:r>
              <w:t>Chs</w:t>
            </w:r>
            <w:proofErr w:type="spellEnd"/>
            <w:r>
              <w:t>. 2.6-2.14; TB2. Ch. 4</w:t>
            </w:r>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lastRenderedPageBreak/>
              <w:t>21-29</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Assess the  conventional theories, their e</w:t>
            </w:r>
            <w:r>
              <w:t>volution, progress and consolidation as a strategy for economic development</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Models of development: ISI and neoliberalism; Classical, neoclassical, Keynesianism and neoliberalism</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TB1. Chs.1.5-1.7 and 1.12; TB2. Ch. 13TB1. Chs.2.2-2.5; TB2. Ch.3.</w:t>
            </w:r>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30-37</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 xml:space="preserve">Identify and ascertain the nature of Themes in comparative international development, dimensions and varying impacts of some of the structural development issues </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Environment, health,</w:t>
            </w:r>
          </w:p>
          <w:p w:rsidR="003C459D" w:rsidRDefault="00B9172D">
            <w:pPr>
              <w:jc w:val="both"/>
              <w:rPr>
                <w:b/>
              </w:rPr>
            </w:pPr>
            <w:r>
              <w:t>gender, foreign aid, social and human rights.</w:t>
            </w:r>
          </w:p>
          <w:p w:rsidR="003C459D" w:rsidRDefault="003C459D"/>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TB1. 6.1, 6.7, 7.4-7.5; TB2. Ch. 17, 24</w:t>
            </w:r>
          </w:p>
          <w:p w:rsidR="003C459D" w:rsidRDefault="003C459D"/>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37-39</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Evaluate India’s development experience</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Development performance of India, regional variations, development models</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 xml:space="preserve">RB1. </w:t>
            </w:r>
            <w:proofErr w:type="spellStart"/>
            <w:r>
              <w:t>Chs</w:t>
            </w:r>
            <w:proofErr w:type="spellEnd"/>
            <w:r>
              <w:t>. 5-</w:t>
            </w:r>
            <w:proofErr w:type="gramStart"/>
            <w:r>
              <w:t>8;  RB</w:t>
            </w:r>
            <w:proofErr w:type="gramEnd"/>
            <w:r>
              <w:t xml:space="preserve">2. Chs.2-4. </w:t>
            </w:r>
          </w:p>
        </w:tc>
      </w:tr>
      <w:tr w:rsidR="003C459D">
        <w:trPr>
          <w:trHeight w:val="560"/>
          <w:jc w:val="center"/>
        </w:trPr>
        <w:tc>
          <w:tcPr>
            <w:tcW w:w="1140" w:type="dxa"/>
            <w:tcBorders>
              <w:top w:val="single" w:sz="6" w:space="0" w:color="000000"/>
              <w:left w:val="single" w:sz="6" w:space="0" w:color="000000"/>
              <w:bottom w:val="single" w:sz="6" w:space="0" w:color="000000"/>
              <w:right w:val="single" w:sz="6" w:space="0" w:color="000000"/>
            </w:tcBorders>
            <w:vAlign w:val="center"/>
          </w:tcPr>
          <w:p w:rsidR="003C459D" w:rsidRDefault="00B9172D">
            <w:pPr>
              <w:jc w:val="center"/>
            </w:pPr>
            <w:r>
              <w:t>40-42</w:t>
            </w:r>
          </w:p>
        </w:tc>
        <w:tc>
          <w:tcPr>
            <w:tcW w:w="3420" w:type="dxa"/>
            <w:tcBorders>
              <w:top w:val="single" w:sz="6" w:space="0" w:color="000000"/>
              <w:left w:val="single" w:sz="6" w:space="0" w:color="000000"/>
              <w:bottom w:val="single" w:sz="6" w:space="0" w:color="000000"/>
              <w:right w:val="single" w:sz="6" w:space="0" w:color="000000"/>
            </w:tcBorders>
            <w:vAlign w:val="center"/>
          </w:tcPr>
          <w:p w:rsidR="003C459D" w:rsidRDefault="00B9172D">
            <w:r>
              <w:t>Discuss and evaluate India’s development in a comparativ</w:t>
            </w:r>
            <w:r>
              <w:t>e perspective</w:t>
            </w:r>
          </w:p>
        </w:tc>
        <w:tc>
          <w:tcPr>
            <w:tcW w:w="3420" w:type="dxa"/>
            <w:tcBorders>
              <w:top w:val="single" w:sz="6" w:space="0" w:color="000000"/>
              <w:left w:val="single" w:sz="6" w:space="0" w:color="000000"/>
              <w:bottom w:val="single" w:sz="6" w:space="0" w:color="000000"/>
              <w:right w:val="single" w:sz="6" w:space="0" w:color="000000"/>
            </w:tcBorders>
          </w:tcPr>
          <w:p w:rsidR="003C459D" w:rsidRDefault="00B9172D">
            <w:r>
              <w:t>India’s development performance compared with other developing countries</w:t>
            </w:r>
          </w:p>
        </w:tc>
        <w:tc>
          <w:tcPr>
            <w:tcW w:w="1590" w:type="dxa"/>
            <w:tcBorders>
              <w:top w:val="single" w:sz="6" w:space="0" w:color="000000"/>
              <w:left w:val="single" w:sz="6" w:space="0" w:color="000000"/>
              <w:bottom w:val="single" w:sz="6" w:space="0" w:color="000000"/>
              <w:right w:val="single" w:sz="6" w:space="0" w:color="000000"/>
            </w:tcBorders>
          </w:tcPr>
          <w:p w:rsidR="003C459D" w:rsidRDefault="00B9172D">
            <w:r>
              <w:t xml:space="preserve">RB1. </w:t>
            </w:r>
            <w:proofErr w:type="spellStart"/>
            <w:r>
              <w:t>Chs</w:t>
            </w:r>
            <w:proofErr w:type="spellEnd"/>
            <w:r>
              <w:t>. 1-</w:t>
            </w:r>
            <w:proofErr w:type="gramStart"/>
            <w:r>
              <w:t>4;  RB</w:t>
            </w:r>
            <w:proofErr w:type="gramEnd"/>
            <w:r>
              <w:t>2. Chs.5-7.</w:t>
            </w:r>
          </w:p>
        </w:tc>
      </w:tr>
    </w:tbl>
    <w:p w:rsidR="003C459D" w:rsidRDefault="003C459D">
      <w:pPr>
        <w:rPr>
          <w:rFonts w:ascii="Helvetica Neue" w:eastAsia="Helvetica Neue" w:hAnsi="Helvetica Neue" w:cs="Helvetica Neue"/>
          <w:sz w:val="16"/>
          <w:szCs w:val="16"/>
        </w:rPr>
      </w:pPr>
    </w:p>
    <w:p w:rsidR="003C459D" w:rsidRDefault="00B9172D">
      <w:pPr>
        <w:jc w:val="both"/>
      </w:pPr>
      <w:r>
        <w:rPr>
          <w:b/>
        </w:rPr>
        <w:t>Evaluation Scheme:</w:t>
      </w:r>
    </w:p>
    <w:p w:rsidR="003C459D" w:rsidRDefault="003C459D">
      <w:pPr>
        <w:jc w:val="both"/>
        <w:rPr>
          <w:b/>
        </w:rPr>
      </w:pPr>
    </w:p>
    <w:tbl>
      <w:tblPr>
        <w:tblStyle w:val="a4"/>
        <w:tblW w:w="951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70"/>
        <w:gridCol w:w="1620"/>
        <w:gridCol w:w="1635"/>
        <w:gridCol w:w="2655"/>
        <w:gridCol w:w="1530"/>
      </w:tblGrid>
      <w:tr w:rsidR="003C459D">
        <w:trPr>
          <w:trHeight w:val="422"/>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C459D" w:rsidRDefault="00B9172D">
            <w:pPr>
              <w:jc w:val="center"/>
              <w:rPr>
                <w:b/>
              </w:rPr>
            </w:pPr>
            <w:r>
              <w:rPr>
                <w:b/>
              </w:rPr>
              <w:t>Component</w:t>
            </w:r>
          </w:p>
        </w:tc>
        <w:tc>
          <w:tcPr>
            <w:tcW w:w="16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C459D" w:rsidRDefault="00B9172D">
            <w:pPr>
              <w:jc w:val="center"/>
              <w:rPr>
                <w:b/>
              </w:rPr>
            </w:pPr>
            <w:r>
              <w:rPr>
                <w:b/>
              </w:rPr>
              <w:t>Duration</w:t>
            </w:r>
          </w:p>
        </w:tc>
        <w:tc>
          <w:tcPr>
            <w:tcW w:w="16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C459D" w:rsidRDefault="00B9172D">
            <w:pPr>
              <w:jc w:val="center"/>
              <w:rPr>
                <w:b/>
              </w:rPr>
            </w:pPr>
            <w:r>
              <w:rPr>
                <w:b/>
              </w:rPr>
              <w:t>Weightage (%)</w:t>
            </w:r>
          </w:p>
        </w:tc>
        <w:tc>
          <w:tcPr>
            <w:tcW w:w="26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C459D" w:rsidRDefault="00B9172D">
            <w:pPr>
              <w:jc w:val="center"/>
              <w:rPr>
                <w:b/>
              </w:rPr>
            </w:pPr>
            <w:r>
              <w:rPr>
                <w:b/>
              </w:rPr>
              <w:t>Date &amp; Time</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C459D" w:rsidRDefault="00B9172D">
            <w:pPr>
              <w:jc w:val="center"/>
              <w:rPr>
                <w:b/>
              </w:rPr>
            </w:pPr>
            <w:r>
              <w:rPr>
                <w:b/>
              </w:rPr>
              <w:t>Nature of Component</w:t>
            </w:r>
          </w:p>
        </w:tc>
      </w:tr>
      <w:tr w:rsidR="003C459D">
        <w:trPr>
          <w:trHeight w:val="530"/>
          <w:jc w:val="center"/>
        </w:trPr>
        <w:tc>
          <w:tcPr>
            <w:tcW w:w="207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2 Assignments</w:t>
            </w:r>
          </w:p>
        </w:tc>
        <w:tc>
          <w:tcPr>
            <w:tcW w:w="162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30 minutes each</w:t>
            </w:r>
          </w:p>
        </w:tc>
        <w:tc>
          <w:tcPr>
            <w:tcW w:w="1635"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30</w:t>
            </w:r>
          </w:p>
        </w:tc>
        <w:tc>
          <w:tcPr>
            <w:tcW w:w="2655"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TBA</w:t>
            </w:r>
          </w:p>
          <w:p w:rsidR="003C459D" w:rsidRDefault="003C459D">
            <w:pPr>
              <w:jc w:val="center"/>
            </w:pPr>
          </w:p>
        </w:tc>
        <w:tc>
          <w:tcPr>
            <w:tcW w:w="153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Open book</w:t>
            </w:r>
          </w:p>
        </w:tc>
      </w:tr>
      <w:tr w:rsidR="003C459D">
        <w:trPr>
          <w:trHeight w:val="530"/>
          <w:jc w:val="center"/>
        </w:trPr>
        <w:tc>
          <w:tcPr>
            <w:tcW w:w="207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 xml:space="preserve">Mid semester </w:t>
            </w:r>
          </w:p>
        </w:tc>
        <w:tc>
          <w:tcPr>
            <w:tcW w:w="162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90 minutes</w:t>
            </w:r>
          </w:p>
        </w:tc>
        <w:tc>
          <w:tcPr>
            <w:tcW w:w="1635"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30</w:t>
            </w:r>
          </w:p>
        </w:tc>
        <w:tc>
          <w:tcPr>
            <w:tcW w:w="2655" w:type="dxa"/>
            <w:tcBorders>
              <w:top w:val="single" w:sz="4" w:space="0" w:color="000000"/>
              <w:left w:val="single" w:sz="4" w:space="0" w:color="000000"/>
              <w:bottom w:val="single" w:sz="4" w:space="0" w:color="000000"/>
              <w:right w:val="single" w:sz="4" w:space="0" w:color="000000"/>
            </w:tcBorders>
            <w:vAlign w:val="center"/>
          </w:tcPr>
          <w:p w:rsidR="003C459D" w:rsidRDefault="00F03915">
            <w:r>
              <w:t>05/03 1.30 - 3.00PM</w:t>
            </w:r>
          </w:p>
        </w:tc>
        <w:tc>
          <w:tcPr>
            <w:tcW w:w="153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Open book</w:t>
            </w:r>
          </w:p>
        </w:tc>
      </w:tr>
      <w:tr w:rsidR="003C459D">
        <w:trPr>
          <w:trHeight w:val="530"/>
          <w:jc w:val="center"/>
        </w:trPr>
        <w:tc>
          <w:tcPr>
            <w:tcW w:w="207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Comprehensive</w:t>
            </w:r>
          </w:p>
        </w:tc>
        <w:tc>
          <w:tcPr>
            <w:tcW w:w="1620" w:type="dxa"/>
            <w:tcBorders>
              <w:top w:val="single" w:sz="4" w:space="0" w:color="000000"/>
              <w:left w:val="single" w:sz="4" w:space="0" w:color="000000"/>
              <w:bottom w:val="single" w:sz="4" w:space="0" w:color="000000"/>
              <w:right w:val="single" w:sz="4" w:space="0" w:color="000000"/>
            </w:tcBorders>
            <w:vAlign w:val="center"/>
          </w:tcPr>
          <w:p w:rsidR="003C459D" w:rsidRDefault="00B9172D">
            <w:r>
              <w:t>120 minutes</w:t>
            </w:r>
          </w:p>
        </w:tc>
        <w:tc>
          <w:tcPr>
            <w:tcW w:w="1635"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40</w:t>
            </w:r>
          </w:p>
        </w:tc>
        <w:tc>
          <w:tcPr>
            <w:tcW w:w="2655" w:type="dxa"/>
            <w:tcBorders>
              <w:top w:val="single" w:sz="4" w:space="0" w:color="000000"/>
              <w:left w:val="single" w:sz="4" w:space="0" w:color="000000"/>
              <w:bottom w:val="single" w:sz="4" w:space="0" w:color="000000"/>
              <w:right w:val="single" w:sz="4" w:space="0" w:color="000000"/>
            </w:tcBorders>
            <w:vAlign w:val="center"/>
          </w:tcPr>
          <w:p w:rsidR="003C459D" w:rsidRDefault="00F03915">
            <w:pPr>
              <w:jc w:val="center"/>
            </w:pPr>
            <w:r>
              <w:t>15/05 FN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vAlign w:val="center"/>
          </w:tcPr>
          <w:p w:rsidR="003C459D" w:rsidRDefault="00B9172D">
            <w:pPr>
              <w:jc w:val="center"/>
            </w:pPr>
            <w:r>
              <w:t xml:space="preserve"> Open book</w:t>
            </w:r>
          </w:p>
        </w:tc>
      </w:tr>
    </w:tbl>
    <w:p w:rsidR="003C459D" w:rsidRDefault="003C459D">
      <w:pPr>
        <w:jc w:val="both"/>
        <w:rPr>
          <w:b/>
        </w:rPr>
      </w:pPr>
    </w:p>
    <w:p w:rsidR="003C459D" w:rsidRDefault="00B9172D">
      <w:pPr>
        <w:jc w:val="both"/>
      </w:pPr>
      <w:bookmarkStart w:id="1" w:name="_heading=h.gjdgxs" w:colFirst="0" w:colLast="0"/>
      <w:bookmarkEnd w:id="1"/>
      <w:r>
        <w:rPr>
          <w:b/>
        </w:rPr>
        <w:t>Chamber Consultation Hour:</w:t>
      </w:r>
      <w:r>
        <w:t xml:space="preserve"> Chamber Number K- 126, HSS department, Time: 4-5 pm Monday to Friday. </w:t>
      </w:r>
      <w:r>
        <w:rPr>
          <w:highlight w:val="white"/>
        </w:rPr>
        <w:t>A Google Meet lin</w:t>
      </w:r>
      <w:r>
        <w:rPr>
          <w:highlight w:val="white"/>
        </w:rPr>
        <w:t>k along with consultation hours will be shared on the CMS</w:t>
      </w:r>
    </w:p>
    <w:p w:rsidR="003C459D" w:rsidRDefault="003C459D">
      <w:pPr>
        <w:jc w:val="both"/>
      </w:pPr>
    </w:p>
    <w:p w:rsidR="003C459D" w:rsidRDefault="00B9172D">
      <w:pPr>
        <w:jc w:val="both"/>
      </w:pPr>
      <w:r>
        <w:rPr>
          <w:b/>
        </w:rPr>
        <w:t>Notices:</w:t>
      </w:r>
      <w:r>
        <w:t xml:space="preserve"> Notices, if any, will be displayed on CMS.</w:t>
      </w:r>
    </w:p>
    <w:p w:rsidR="003C459D" w:rsidRDefault="00B9172D">
      <w:pPr>
        <w:jc w:val="both"/>
        <w:rPr>
          <w:b/>
        </w:rPr>
      </w:pPr>
      <w:r>
        <w:rPr>
          <w:b/>
        </w:rPr>
        <w:t xml:space="preserve">Make-up Policy: </w:t>
      </w:r>
      <w:r>
        <w:t>The make-up for an evaluation component will be given only in genuine cases.</w:t>
      </w:r>
    </w:p>
    <w:p w:rsidR="003C459D" w:rsidRDefault="00B9172D">
      <w:pPr>
        <w:jc w:val="both"/>
      </w:pPr>
      <w:r>
        <w:rPr>
          <w:b/>
          <w:sz w:val="22"/>
          <w:szCs w:val="22"/>
        </w:rPr>
        <w:t>Academic Honesty and Integrity Policy:</w:t>
      </w:r>
      <w:r>
        <w:rPr>
          <w:b/>
        </w:rPr>
        <w:t xml:space="preserve"> </w:t>
      </w:r>
      <w:r>
        <w:t>Academic honesty and integrity are to be maintained by all the students throughout the semester and no type of academic dishonesty is acceptable.</w:t>
      </w:r>
    </w:p>
    <w:p w:rsidR="003C459D" w:rsidRDefault="00B9172D">
      <w:pPr>
        <w:jc w:val="right"/>
        <w:rPr>
          <w:b/>
        </w:rPr>
      </w:pPr>
      <w:r>
        <w:rPr>
          <w:b/>
        </w:rPr>
        <w:t xml:space="preserve">    </w:t>
      </w:r>
    </w:p>
    <w:p w:rsidR="003C459D" w:rsidRDefault="00B9172D">
      <w:pPr>
        <w:jc w:val="right"/>
        <w:rPr>
          <w:b/>
        </w:rPr>
      </w:pPr>
      <w:proofErr w:type="spellStart"/>
      <w:r>
        <w:rPr>
          <w:b/>
        </w:rPr>
        <w:t>Suchismita</w:t>
      </w:r>
      <w:proofErr w:type="spellEnd"/>
      <w:r>
        <w:rPr>
          <w:b/>
        </w:rPr>
        <w:t xml:space="preserve"> </w:t>
      </w:r>
      <w:proofErr w:type="spellStart"/>
      <w:r>
        <w:rPr>
          <w:b/>
        </w:rPr>
        <w:t>Satpathy</w:t>
      </w:r>
      <w:proofErr w:type="spellEnd"/>
    </w:p>
    <w:p w:rsidR="003C459D" w:rsidRDefault="00B9172D">
      <w:pPr>
        <w:jc w:val="right"/>
        <w:rPr>
          <w:b/>
        </w:rPr>
      </w:pPr>
      <w:r>
        <w:rPr>
          <w:b/>
        </w:rPr>
        <w:t xml:space="preserve"> INSTRUCTOR-IN-CHARGE</w:t>
      </w:r>
    </w:p>
    <w:sectPr w:rsidR="003C459D">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72D" w:rsidRDefault="00B9172D">
      <w:r>
        <w:separator/>
      </w:r>
    </w:p>
  </w:endnote>
  <w:endnote w:type="continuationSeparator" w:id="0">
    <w:p w:rsidR="00B9172D" w:rsidRDefault="00B9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59D" w:rsidRDefault="00B9172D">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72D" w:rsidRDefault="00B9172D">
      <w:r>
        <w:separator/>
      </w:r>
    </w:p>
  </w:footnote>
  <w:footnote w:type="continuationSeparator" w:id="0">
    <w:p w:rsidR="00B9172D" w:rsidRDefault="00B917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59D" w:rsidRDefault="003C459D">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C1527"/>
    <w:multiLevelType w:val="multilevel"/>
    <w:tmpl w:val="44ACCC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right"/>
      <w:pPr>
        <w:ind w:left="2160" w:hanging="180"/>
      </w:pPr>
      <w:rPr>
        <w:rFonts w:ascii="Times New Roman" w:eastAsia="Times New Roman" w:hAnsi="Times New Roman" w:cs="Times New Roman"/>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9D"/>
    <w:rsid w:val="003C459D"/>
    <w:rsid w:val="00B9172D"/>
    <w:rsid w:val="00F03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E0A3"/>
  <w15:docId w15:val="{6FD75D0A-A112-4CC7-89F5-03E7329A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91491"/>
    <w:pPr>
      <w:ind w:left="720"/>
      <w:contextualSpacing/>
    </w:pPr>
  </w:style>
  <w:style w:type="paragraph" w:styleId="BodyText">
    <w:name w:val="Body Text"/>
    <w:basedOn w:val="Normal"/>
    <w:link w:val="BodyTextChar"/>
    <w:semiHidden/>
    <w:rsid w:val="00F5345A"/>
    <w:pPr>
      <w:jc w:val="both"/>
    </w:pPr>
    <w:rPr>
      <w:lang w:eastAsia="en-US"/>
    </w:rPr>
  </w:style>
  <w:style w:type="character" w:customStyle="1" w:styleId="BodyTextChar">
    <w:name w:val="Body Text Char"/>
    <w:basedOn w:val="DefaultParagraphFont"/>
    <w:link w:val="BodyText"/>
    <w:semiHidden/>
    <w:rsid w:val="00F5345A"/>
    <w:rPr>
      <w:lang w:eastAsia="en-US"/>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WcFT+AW5BUykb2qNpvV/BB4uA==">AMUW2mXVr7uUQr7LPi4dM5/mQo2RAKN82yvWhckbclLSeXrMtfQkKoXCrcRv4AgYdDeNgylmYghB0avrw+KF/EOb/EHkAgl3c0x1rvs2gwJbETjAEZIiKzWPS+3+XdLV7xv2Rb5wgT4V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2020-12-12T06:19:00Z</dcterms:created>
  <dcterms:modified xsi:type="dcterms:W3CDTF">2021-01-15T11:00:00Z</dcterms:modified>
</cp:coreProperties>
</file>