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BDFBEA" w14:textId="77777777" w:rsidR="00212444" w:rsidRDefault="00B063E6">
      <w:pPr>
        <w:jc w:val="center"/>
        <w:rPr>
          <w:b/>
          <w:color w:val="000000"/>
        </w:rPr>
      </w:pPr>
      <w:r>
        <w:rPr>
          <w:b/>
          <w:noProof/>
          <w:color w:val="000000"/>
        </w:rPr>
        <w:drawing>
          <wp:inline distT="0" distB="0" distL="114300" distR="114300" wp14:anchorId="1F9323C4" wp14:editId="6ACFD5F7">
            <wp:extent cx="4921250" cy="1030605"/>
            <wp:effectExtent l="0" t="0" r="0" b="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21250" cy="10306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7605B1" w14:textId="77777777" w:rsidR="00212444" w:rsidRDefault="00B063E6">
      <w:pPr>
        <w:jc w:val="center"/>
        <w:rPr>
          <w:b/>
          <w:color w:val="000000"/>
        </w:rPr>
      </w:pPr>
      <w:r>
        <w:rPr>
          <w:b/>
          <w:color w:val="000000"/>
        </w:rPr>
        <w:t>FIRST SEMESTER 2020-2021</w:t>
      </w:r>
    </w:p>
    <w:p w14:paraId="65C5454B" w14:textId="77777777" w:rsidR="00212444" w:rsidRDefault="00B063E6">
      <w:pPr>
        <w:pStyle w:val="Heading1"/>
        <w:jc w:val="center"/>
        <w:rPr>
          <w:color w:val="000000"/>
        </w:rPr>
      </w:pPr>
      <w:r>
        <w:rPr>
          <w:color w:val="000000"/>
        </w:rPr>
        <w:t>Course Handout Part II</w:t>
      </w:r>
    </w:p>
    <w:p w14:paraId="5C0040F6" w14:textId="7C2AEF9A" w:rsidR="00212444" w:rsidRDefault="00B063E6">
      <w:pPr>
        <w:jc w:val="right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Date: 1</w:t>
      </w:r>
      <w:r w:rsidR="0036026C">
        <w:rPr>
          <w:color w:val="000000"/>
        </w:rPr>
        <w:t>7</w:t>
      </w:r>
      <w:r>
        <w:rPr>
          <w:color w:val="000000"/>
        </w:rPr>
        <w:t xml:space="preserve">-08-2020 </w:t>
      </w:r>
    </w:p>
    <w:p w14:paraId="10C8FABB" w14:textId="77777777" w:rsidR="00212444" w:rsidRDefault="00B063E6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 xml:space="preserve">In addition to part-I (General Handout for all courses appended to the </w:t>
      </w:r>
      <w:proofErr w:type="gramStart"/>
      <w:r>
        <w:rPr>
          <w:color w:val="000000"/>
        </w:rPr>
        <w:t>time table</w:t>
      </w:r>
      <w:proofErr w:type="gramEnd"/>
      <w:r>
        <w:rPr>
          <w:color w:val="000000"/>
        </w:rPr>
        <w:t>) this portion gives further specific details regarding the course.</w:t>
      </w:r>
    </w:p>
    <w:p w14:paraId="094797DA" w14:textId="77777777" w:rsidR="00212444" w:rsidRDefault="00212444">
      <w:pPr>
        <w:rPr>
          <w:color w:val="000000"/>
        </w:rPr>
      </w:pPr>
    </w:p>
    <w:p w14:paraId="1A99375A" w14:textId="77777777" w:rsidR="00212444" w:rsidRDefault="00B063E6">
      <w:pPr>
        <w:rPr>
          <w:color w:val="000000"/>
        </w:rPr>
      </w:pPr>
      <w:r>
        <w:rPr>
          <w:i/>
          <w:color w:val="000000"/>
        </w:rPr>
        <w:t>Course No.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: HSS F362</w:t>
      </w:r>
    </w:p>
    <w:p w14:paraId="02ED312B" w14:textId="77777777" w:rsidR="00212444" w:rsidRDefault="00B063E6">
      <w:pPr>
        <w:pStyle w:val="Heading2"/>
        <w:rPr>
          <w:i w:val="0"/>
          <w:color w:val="000000"/>
        </w:rPr>
      </w:pPr>
      <w:r>
        <w:rPr>
          <w:i w:val="0"/>
          <w:color w:val="000000"/>
        </w:rPr>
        <w:t>Course Title</w:t>
      </w:r>
      <w:r>
        <w:rPr>
          <w:i w:val="0"/>
          <w:color w:val="000000"/>
        </w:rPr>
        <w:tab/>
      </w:r>
      <w:r>
        <w:rPr>
          <w:i w:val="0"/>
          <w:color w:val="000000"/>
        </w:rPr>
        <w:tab/>
      </w:r>
      <w:r>
        <w:rPr>
          <w:i w:val="0"/>
          <w:color w:val="000000"/>
        </w:rPr>
        <w:tab/>
        <w:t>: Local Governance and Participation</w:t>
      </w:r>
    </w:p>
    <w:p w14:paraId="6083FE4F" w14:textId="77777777" w:rsidR="00212444" w:rsidRDefault="00B063E6">
      <w:pPr>
        <w:pStyle w:val="Heading2"/>
        <w:rPr>
          <w:i w:val="0"/>
          <w:color w:val="000000"/>
        </w:rPr>
      </w:pPr>
      <w:r>
        <w:rPr>
          <w:color w:val="000000"/>
        </w:rPr>
        <w:t>Instructor-in-Charge</w:t>
      </w:r>
      <w:r>
        <w:rPr>
          <w:i w:val="0"/>
          <w:color w:val="000000"/>
        </w:rPr>
        <w:tab/>
      </w:r>
      <w:r>
        <w:rPr>
          <w:i w:val="0"/>
          <w:color w:val="000000"/>
        </w:rPr>
        <w:tab/>
        <w:t>: Dr. La</w:t>
      </w:r>
      <w:r>
        <w:rPr>
          <w:i w:val="0"/>
          <w:color w:val="000000"/>
        </w:rPr>
        <w:t xml:space="preserve">vanya Suresh </w:t>
      </w:r>
    </w:p>
    <w:p w14:paraId="42C005AD" w14:textId="77777777" w:rsidR="00212444" w:rsidRDefault="00B063E6">
      <w:pPr>
        <w:rPr>
          <w:color w:val="000000"/>
        </w:rPr>
      </w:pPr>
      <w:r>
        <w:rPr>
          <w:i/>
          <w:color w:val="000000"/>
        </w:rPr>
        <w:t>Google meet link for the class</w:t>
      </w:r>
      <w:r>
        <w:rPr>
          <w:color w:val="000000"/>
        </w:rPr>
        <w:t>: Available on CMS</w:t>
      </w:r>
    </w:p>
    <w:p w14:paraId="5BA69AAF" w14:textId="77777777" w:rsidR="00212444" w:rsidRDefault="00212444">
      <w:pPr>
        <w:rPr>
          <w:color w:val="000000"/>
        </w:rPr>
      </w:pPr>
    </w:p>
    <w:p w14:paraId="21890770" w14:textId="77777777" w:rsidR="00212444" w:rsidRDefault="00B063E6">
      <w:pPr>
        <w:rPr>
          <w:b/>
          <w:color w:val="000000"/>
        </w:rPr>
      </w:pPr>
      <w:r>
        <w:rPr>
          <w:b/>
          <w:color w:val="000000"/>
        </w:rPr>
        <w:t>Scope and Objective of the Course:</w:t>
      </w:r>
    </w:p>
    <w:p w14:paraId="20EF21B1" w14:textId="77777777" w:rsidR="00212444" w:rsidRDefault="00B063E6">
      <w:pPr>
        <w:jc w:val="both"/>
        <w:rPr>
          <w:color w:val="000000"/>
        </w:rPr>
      </w:pPr>
      <w:r>
        <w:rPr>
          <w:color w:val="000000"/>
        </w:rPr>
        <w:t>Strengthening local governments is one of the most important governance challenges in India today. A strong and empowered local government can bring together</w:t>
      </w:r>
      <w:r>
        <w:rPr>
          <w:color w:val="000000"/>
        </w:rPr>
        <w:t xml:space="preserve"> inclusive growth with inclusive governance. The course will introduce students to key concepts and ideas of decentralization with a focus on the constitutional framework for the same in the Indian context. This will include understanding the 73rd and 74th</w:t>
      </w:r>
      <w:r>
        <w:rPr>
          <w:color w:val="000000"/>
        </w:rPr>
        <w:t xml:space="preserve"> Constitutional amendments; the Panchayat Extension to Scheduled Areas (PESA); the idea and impact of reservations for women, scheduled castes, scheduled tribes and other marginalized communities. State wise and sectoral case studies will be used to furthe</w:t>
      </w:r>
      <w:r>
        <w:rPr>
          <w:color w:val="000000"/>
        </w:rPr>
        <w:t>r engage and explain the idea of local governance and participation.</w:t>
      </w:r>
    </w:p>
    <w:p w14:paraId="10EC3A27" w14:textId="77777777" w:rsidR="00212444" w:rsidRDefault="00212444">
      <w:pPr>
        <w:rPr>
          <w:b/>
          <w:color w:val="000000"/>
        </w:rPr>
      </w:pPr>
    </w:p>
    <w:p w14:paraId="517F9C25" w14:textId="77777777" w:rsidR="00212444" w:rsidRDefault="00B063E6">
      <w:pPr>
        <w:rPr>
          <w:color w:val="000000"/>
        </w:rPr>
      </w:pPr>
      <w:r>
        <w:rPr>
          <w:color w:val="000000"/>
        </w:rPr>
        <w:t>After course completion, students will be able to-</w:t>
      </w:r>
    </w:p>
    <w:p w14:paraId="27961734" w14:textId="77777777" w:rsidR="00212444" w:rsidRDefault="00B063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</w:rPr>
      </w:pPr>
      <w:r>
        <w:rPr>
          <w:color w:val="000000"/>
        </w:rPr>
        <w:t>Understand the larger political debate of devolving power to local governments</w:t>
      </w:r>
    </w:p>
    <w:p w14:paraId="4404DE9D" w14:textId="77777777" w:rsidR="00212444" w:rsidRDefault="00B063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</w:rPr>
      </w:pPr>
      <w:r>
        <w:rPr>
          <w:color w:val="000000"/>
        </w:rPr>
        <w:t>Connect the national movement for an independent India to the ideas of direct democracy and participation</w:t>
      </w:r>
    </w:p>
    <w:p w14:paraId="09DCF3C5" w14:textId="77777777" w:rsidR="00212444" w:rsidRDefault="00B063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</w:rPr>
      </w:pPr>
      <w:r>
        <w:rPr>
          <w:color w:val="000000"/>
        </w:rPr>
        <w:t>Elaborate on means to include marginalized sections of society in polic</w:t>
      </w:r>
      <w:r>
        <w:rPr>
          <w:color w:val="000000"/>
        </w:rPr>
        <w:t>y making</w:t>
      </w:r>
    </w:p>
    <w:p w14:paraId="7C809206" w14:textId="77777777" w:rsidR="00212444" w:rsidRDefault="00B063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</w:rPr>
      </w:pPr>
      <w:r>
        <w:rPr>
          <w:color w:val="000000"/>
        </w:rPr>
        <w:t xml:space="preserve">Discuss and analyze constitutional change and policy decisions that make government more accountable </w:t>
      </w:r>
    </w:p>
    <w:p w14:paraId="6B6ED8A1" w14:textId="77777777" w:rsidR="00212444" w:rsidRDefault="00B063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both"/>
        <w:rPr>
          <w:color w:val="000000"/>
        </w:rPr>
      </w:pPr>
      <w:proofErr w:type="spellStart"/>
      <w:r>
        <w:rPr>
          <w:color w:val="000000"/>
        </w:rPr>
        <w:t>Analyse</w:t>
      </w:r>
      <w:proofErr w:type="spellEnd"/>
      <w:r>
        <w:rPr>
          <w:color w:val="000000"/>
        </w:rPr>
        <w:t xml:space="preserve"> the challenges in participation of the common man in public policy and governance </w:t>
      </w:r>
    </w:p>
    <w:p w14:paraId="16797A6C" w14:textId="77777777" w:rsidR="00212444" w:rsidRDefault="00B063E6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b/>
          <w:color w:val="000000"/>
        </w:rPr>
        <w:t>Textbooks (TB):</w:t>
      </w:r>
    </w:p>
    <w:p w14:paraId="4D5A444B" w14:textId="77777777" w:rsidR="00212444" w:rsidRDefault="00B063E6">
      <w:pPr>
        <w:jc w:val="both"/>
        <w:rPr>
          <w:color w:val="000000"/>
        </w:rPr>
      </w:pPr>
      <w:proofErr w:type="spellStart"/>
      <w:r>
        <w:rPr>
          <w:color w:val="000000"/>
        </w:rPr>
        <w:t>Raghunandan</w:t>
      </w:r>
      <w:proofErr w:type="spellEnd"/>
      <w:r>
        <w:rPr>
          <w:color w:val="000000"/>
        </w:rPr>
        <w:t xml:space="preserve">, T R (eds.) (2012). </w:t>
      </w:r>
      <w:proofErr w:type="spellStart"/>
      <w:r>
        <w:rPr>
          <w:i/>
          <w:color w:val="000000"/>
        </w:rPr>
        <w:t>Decent</w:t>
      </w:r>
      <w:r>
        <w:rPr>
          <w:i/>
          <w:color w:val="000000"/>
        </w:rPr>
        <w:t>ralisation</w:t>
      </w:r>
      <w:proofErr w:type="spellEnd"/>
      <w:r>
        <w:rPr>
          <w:i/>
          <w:color w:val="000000"/>
        </w:rPr>
        <w:t xml:space="preserve"> and Local Governments: The Indian Experience</w:t>
      </w:r>
      <w:r>
        <w:rPr>
          <w:color w:val="000000"/>
        </w:rPr>
        <w:t xml:space="preserve">.  New Delhi: Orient </w:t>
      </w:r>
      <w:proofErr w:type="spellStart"/>
      <w:r>
        <w:rPr>
          <w:color w:val="000000"/>
        </w:rPr>
        <w:t>Blackswan</w:t>
      </w:r>
      <w:proofErr w:type="spellEnd"/>
      <w:r>
        <w:rPr>
          <w:color w:val="000000"/>
        </w:rPr>
        <w:t xml:space="preserve"> Private Limited. </w:t>
      </w:r>
    </w:p>
    <w:p w14:paraId="1AFAE0E4" w14:textId="77777777" w:rsidR="00212444" w:rsidRDefault="00212444">
      <w:pPr>
        <w:jc w:val="both"/>
        <w:rPr>
          <w:b/>
          <w:color w:val="000000"/>
        </w:rPr>
      </w:pPr>
    </w:p>
    <w:p w14:paraId="25925708" w14:textId="77777777" w:rsidR="00212444" w:rsidRDefault="00B063E6">
      <w:pPr>
        <w:jc w:val="both"/>
        <w:rPr>
          <w:b/>
          <w:color w:val="000000"/>
        </w:rPr>
      </w:pPr>
      <w:r>
        <w:rPr>
          <w:b/>
          <w:color w:val="000000"/>
        </w:rPr>
        <w:t>Reference books</w:t>
      </w:r>
    </w:p>
    <w:p w14:paraId="7A219D54" w14:textId="77777777" w:rsidR="00212444" w:rsidRDefault="00B063E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proofErr w:type="spellStart"/>
      <w:r>
        <w:rPr>
          <w:color w:val="000000"/>
        </w:rPr>
        <w:t>Jodhka</w:t>
      </w:r>
      <w:proofErr w:type="spellEnd"/>
      <w:r>
        <w:rPr>
          <w:color w:val="000000"/>
        </w:rPr>
        <w:t xml:space="preserve"> (2002) Nation and Village Images of Rural India in Gandhi, Nehru and Ambedkar, EPW</w:t>
      </w:r>
    </w:p>
    <w:p w14:paraId="769D8E08" w14:textId="77777777" w:rsidR="00212444" w:rsidRDefault="00B063E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proofErr w:type="spellStart"/>
      <w:r>
        <w:rPr>
          <w:color w:val="000000"/>
        </w:rPr>
        <w:t>Sivaramakrishnan</w:t>
      </w:r>
      <w:proofErr w:type="spellEnd"/>
      <w:r>
        <w:rPr>
          <w:color w:val="000000"/>
        </w:rPr>
        <w:t xml:space="preserve"> (2013) Revisiting the 74th Constitutional Amendment for Better Metropolitan Governance, EPW, vol </w:t>
      </w:r>
      <w:proofErr w:type="spellStart"/>
      <w:r>
        <w:rPr>
          <w:color w:val="000000"/>
        </w:rPr>
        <w:t>xlviII</w:t>
      </w:r>
      <w:proofErr w:type="spellEnd"/>
      <w:r>
        <w:rPr>
          <w:color w:val="000000"/>
        </w:rPr>
        <w:t xml:space="preserve"> no 13, </w:t>
      </w:r>
      <w:proofErr w:type="spellStart"/>
      <w:r>
        <w:rPr>
          <w:color w:val="000000"/>
        </w:rPr>
        <w:t>Pg</w:t>
      </w:r>
      <w:proofErr w:type="spellEnd"/>
      <w:r>
        <w:rPr>
          <w:color w:val="000000"/>
        </w:rPr>
        <w:t xml:space="preserve"> 89-97</w:t>
      </w:r>
    </w:p>
    <w:p w14:paraId="155EC61D" w14:textId="77777777" w:rsidR="00212444" w:rsidRDefault="00B063E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Gandhi, M.K. (1959) Panchayat</w:t>
      </w:r>
      <w:r>
        <w:rPr>
          <w:color w:val="000000"/>
        </w:rPr>
        <w:t xml:space="preserve"> Raj. Compiled </w:t>
      </w:r>
      <w:proofErr w:type="gramStart"/>
      <w:r>
        <w:rPr>
          <w:color w:val="000000"/>
        </w:rPr>
        <w:t>by :</w:t>
      </w:r>
      <w:proofErr w:type="gramEnd"/>
      <w:r>
        <w:rPr>
          <w:color w:val="000000"/>
        </w:rPr>
        <w:t xml:space="preserve"> R. K. Prabhu. Link : </w:t>
      </w:r>
      <w:hyperlink r:id="rId8">
        <w:r>
          <w:rPr>
            <w:color w:val="000000"/>
            <w:u w:val="single"/>
          </w:rPr>
          <w:t>http://www.mkgandhi.org/ebks/panchayat_raj.pdf</w:t>
        </w:r>
      </w:hyperlink>
    </w:p>
    <w:p w14:paraId="6FE30E17" w14:textId="77777777" w:rsidR="00212444" w:rsidRDefault="00B063E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Crook, Richard and James Manor (2000) ‘Democratic Decentralization’, OED Working, Paper No. 11, Washin</w:t>
      </w:r>
      <w:r>
        <w:rPr>
          <w:color w:val="000000"/>
        </w:rPr>
        <w:t>gton, DC: World Bank</w:t>
      </w:r>
    </w:p>
    <w:p w14:paraId="74A07419" w14:textId="77777777" w:rsidR="00212444" w:rsidRDefault="00B063E6">
      <w:pPr>
        <w:jc w:val="both"/>
        <w:rPr>
          <w:b/>
          <w:color w:val="000000"/>
        </w:rPr>
      </w:pPr>
      <w:r>
        <w:rPr>
          <w:b/>
          <w:color w:val="000000"/>
        </w:rPr>
        <w:t>Course Plan:</w:t>
      </w:r>
    </w:p>
    <w:p w14:paraId="4A92EB14" w14:textId="77777777" w:rsidR="00212444" w:rsidRDefault="00212444">
      <w:pPr>
        <w:jc w:val="both"/>
        <w:rPr>
          <w:b/>
          <w:color w:val="000000"/>
        </w:rPr>
      </w:pPr>
    </w:p>
    <w:tbl>
      <w:tblPr>
        <w:tblStyle w:val="a"/>
        <w:tblW w:w="11016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90"/>
        <w:gridCol w:w="2778"/>
        <w:gridCol w:w="5133"/>
        <w:gridCol w:w="1815"/>
      </w:tblGrid>
      <w:tr w:rsidR="00212444" w14:paraId="3CC53D60" w14:textId="77777777">
        <w:trPr>
          <w:jc w:val="center"/>
        </w:trPr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01512BD2" w14:textId="77777777" w:rsidR="00212444" w:rsidRDefault="00B063E6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lastRenderedPageBreak/>
              <w:t>Lecture No.</w:t>
            </w:r>
          </w:p>
        </w:tc>
        <w:tc>
          <w:tcPr>
            <w:tcW w:w="2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220ACAB1" w14:textId="77777777" w:rsidR="00212444" w:rsidRDefault="00B063E6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Learning objectives</w:t>
            </w:r>
          </w:p>
        </w:tc>
        <w:tc>
          <w:tcPr>
            <w:tcW w:w="5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130EB302" w14:textId="77777777" w:rsidR="00212444" w:rsidRDefault="00B063E6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Topics to be covered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35F61660" w14:textId="77777777" w:rsidR="00212444" w:rsidRDefault="00B063E6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Chapter in the </w:t>
            </w:r>
            <w:proofErr w:type="gramStart"/>
            <w:r>
              <w:rPr>
                <w:b/>
                <w:color w:val="000000"/>
              </w:rPr>
              <w:t>Text Book</w:t>
            </w:r>
            <w:proofErr w:type="gramEnd"/>
          </w:p>
        </w:tc>
      </w:tr>
      <w:tr w:rsidR="00212444" w14:paraId="68BD96C1" w14:textId="77777777">
        <w:trPr>
          <w:trHeight w:val="576"/>
          <w:jc w:val="center"/>
        </w:trPr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5D05B99" w14:textId="77777777" w:rsidR="00212444" w:rsidRDefault="00B063E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1-4</w:t>
            </w:r>
          </w:p>
        </w:tc>
        <w:tc>
          <w:tcPr>
            <w:tcW w:w="277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5556E09C" w14:textId="77777777" w:rsidR="00212444" w:rsidRDefault="00B063E6">
            <w:pPr>
              <w:rPr>
                <w:color w:val="000000"/>
              </w:rPr>
            </w:pPr>
            <w:r>
              <w:rPr>
                <w:color w:val="000000"/>
              </w:rPr>
              <w:t>To understand the political role of panchayat raj</w:t>
            </w:r>
          </w:p>
        </w:tc>
        <w:tc>
          <w:tcPr>
            <w:tcW w:w="5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F3AD66" w14:textId="77777777" w:rsidR="00212444" w:rsidRDefault="00B063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Decentralisation</w:t>
            </w:r>
            <w:proofErr w:type="spellEnd"/>
            <w:r>
              <w:rPr>
                <w:color w:val="000000"/>
              </w:rPr>
              <w:t xml:space="preserve"> below state level</w:t>
            </w:r>
          </w:p>
          <w:p w14:paraId="1F4FC4AD" w14:textId="77777777" w:rsidR="00212444" w:rsidRDefault="00212444">
            <w:pPr>
              <w:jc w:val="center"/>
              <w:rPr>
                <w:color w:val="000000"/>
              </w:rPr>
            </w:pP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238D12D" w14:textId="77777777" w:rsidR="00212444" w:rsidRDefault="00B063E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Chapter 2</w:t>
            </w:r>
          </w:p>
        </w:tc>
      </w:tr>
      <w:tr w:rsidR="00212444" w14:paraId="6ECAECD9" w14:textId="77777777">
        <w:trPr>
          <w:trHeight w:val="576"/>
          <w:jc w:val="center"/>
        </w:trPr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C4D65BF" w14:textId="77777777" w:rsidR="00212444" w:rsidRDefault="00B063E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5-7</w:t>
            </w:r>
          </w:p>
        </w:tc>
        <w:tc>
          <w:tcPr>
            <w:tcW w:w="2778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50451EFC" w14:textId="77777777" w:rsidR="00212444" w:rsidRDefault="002124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5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6C29825" w14:textId="77777777" w:rsidR="00212444" w:rsidRDefault="00B063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Decentralized planning</w:t>
            </w:r>
          </w:p>
          <w:p w14:paraId="72537AD0" w14:textId="77777777" w:rsidR="00212444" w:rsidRDefault="002124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79B6052" w14:textId="77777777" w:rsidR="00212444" w:rsidRDefault="00B063E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Chapter 3</w:t>
            </w:r>
          </w:p>
        </w:tc>
      </w:tr>
      <w:tr w:rsidR="00212444" w14:paraId="59D623CB" w14:textId="77777777">
        <w:trPr>
          <w:trHeight w:val="576"/>
          <w:jc w:val="center"/>
        </w:trPr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9ED3079" w14:textId="77777777" w:rsidR="00212444" w:rsidRDefault="00B063E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8-10</w:t>
            </w:r>
          </w:p>
        </w:tc>
        <w:tc>
          <w:tcPr>
            <w:tcW w:w="2778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1B6984AD" w14:textId="77777777" w:rsidR="00212444" w:rsidRDefault="002124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5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A1397EC" w14:textId="77777777" w:rsidR="00212444" w:rsidRDefault="00B063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Panchayati Raj Bills, Acts and Constitutional amendments, Grassroots politics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CB7FF9E" w14:textId="77777777" w:rsidR="00212444" w:rsidRDefault="00B063E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Chapter 4</w:t>
            </w:r>
          </w:p>
        </w:tc>
      </w:tr>
      <w:tr w:rsidR="00212444" w14:paraId="2FC1619A" w14:textId="77777777">
        <w:trPr>
          <w:trHeight w:val="576"/>
          <w:jc w:val="center"/>
        </w:trPr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72802F5" w14:textId="77777777" w:rsidR="00212444" w:rsidRDefault="00B063E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11-13</w:t>
            </w:r>
          </w:p>
        </w:tc>
        <w:tc>
          <w:tcPr>
            <w:tcW w:w="277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25062D2C" w14:textId="77777777" w:rsidR="00212444" w:rsidRDefault="00B063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To examine inclusiveness and participation</w:t>
            </w:r>
          </w:p>
        </w:tc>
        <w:tc>
          <w:tcPr>
            <w:tcW w:w="5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8FFC55A" w14:textId="77777777" w:rsidR="00212444" w:rsidRDefault="00B063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Women in Panchayati Raj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742FBC5" w14:textId="77777777" w:rsidR="00212444" w:rsidRDefault="00B063E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Chapter 6</w:t>
            </w:r>
          </w:p>
        </w:tc>
      </w:tr>
      <w:tr w:rsidR="00212444" w14:paraId="4BF0E13C" w14:textId="77777777">
        <w:trPr>
          <w:trHeight w:val="576"/>
          <w:jc w:val="center"/>
        </w:trPr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8CA0ACB" w14:textId="77777777" w:rsidR="00212444" w:rsidRDefault="00B063E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14-16</w:t>
            </w:r>
          </w:p>
        </w:tc>
        <w:tc>
          <w:tcPr>
            <w:tcW w:w="2778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6A0CC9E9" w14:textId="77777777" w:rsidR="00212444" w:rsidRDefault="002124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5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7AAEA61" w14:textId="77777777" w:rsidR="00212444" w:rsidRDefault="00B063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Impact of reservation in local bodies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2EE52F2" w14:textId="77777777" w:rsidR="00212444" w:rsidRDefault="00B063E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Chapter 14</w:t>
            </w:r>
          </w:p>
        </w:tc>
      </w:tr>
      <w:tr w:rsidR="00212444" w14:paraId="5D8E55C0" w14:textId="77777777">
        <w:trPr>
          <w:trHeight w:val="576"/>
          <w:jc w:val="center"/>
        </w:trPr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2FD9409" w14:textId="77777777" w:rsidR="00212444" w:rsidRDefault="00B063E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17-20</w:t>
            </w:r>
          </w:p>
        </w:tc>
        <w:tc>
          <w:tcPr>
            <w:tcW w:w="2778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052503ED" w14:textId="77777777" w:rsidR="00212444" w:rsidRDefault="002124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5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81448E0" w14:textId="77777777" w:rsidR="00212444" w:rsidRDefault="00B063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Local democracy and clientelism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3CB8E7" w14:textId="77777777" w:rsidR="00212444" w:rsidRDefault="00B063E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Chapter 23</w:t>
            </w:r>
          </w:p>
        </w:tc>
      </w:tr>
      <w:tr w:rsidR="00212444" w14:paraId="147F2C20" w14:textId="77777777">
        <w:trPr>
          <w:trHeight w:val="576"/>
          <w:jc w:val="center"/>
        </w:trPr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87C8CCE" w14:textId="77777777" w:rsidR="00212444" w:rsidRDefault="00B063E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21-24</w:t>
            </w:r>
          </w:p>
        </w:tc>
        <w:tc>
          <w:tcPr>
            <w:tcW w:w="277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1D327D73" w14:textId="77777777" w:rsidR="00212444" w:rsidRDefault="00B063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To discuss functional and financial devolution</w:t>
            </w:r>
          </w:p>
        </w:tc>
        <w:tc>
          <w:tcPr>
            <w:tcW w:w="5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5036A9D" w14:textId="77777777" w:rsidR="00212444" w:rsidRDefault="00B063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Fiscal </w:t>
            </w:r>
            <w:proofErr w:type="spellStart"/>
            <w:r>
              <w:rPr>
                <w:color w:val="000000"/>
              </w:rPr>
              <w:t>decentralisation</w:t>
            </w:r>
            <w:proofErr w:type="spellEnd"/>
            <w:r>
              <w:rPr>
                <w:color w:val="000000"/>
              </w:rPr>
              <w:t xml:space="preserve"> to the sub-state level governments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F1DC799" w14:textId="77777777" w:rsidR="00212444" w:rsidRDefault="00B063E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Chapter 17 and ref.</w:t>
            </w:r>
          </w:p>
        </w:tc>
      </w:tr>
      <w:tr w:rsidR="00212444" w14:paraId="761D09C5" w14:textId="77777777">
        <w:trPr>
          <w:trHeight w:val="576"/>
          <w:jc w:val="center"/>
        </w:trPr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DCC7E8C" w14:textId="77777777" w:rsidR="00212444" w:rsidRDefault="00B063E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25-27</w:t>
            </w:r>
          </w:p>
        </w:tc>
        <w:tc>
          <w:tcPr>
            <w:tcW w:w="2778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591FA02B" w14:textId="77777777" w:rsidR="00212444" w:rsidRDefault="002124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5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D506D43" w14:textId="77777777" w:rsidR="00212444" w:rsidRDefault="00B063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Functional devolution to local bodies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17C5C70" w14:textId="77777777" w:rsidR="00212444" w:rsidRDefault="00B063E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Chapter 18</w:t>
            </w:r>
          </w:p>
          <w:p w14:paraId="1AF2F7E7" w14:textId="77777777" w:rsidR="00212444" w:rsidRDefault="00B063E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And ref.</w:t>
            </w:r>
          </w:p>
        </w:tc>
      </w:tr>
      <w:tr w:rsidR="00212444" w14:paraId="7569104D" w14:textId="77777777">
        <w:trPr>
          <w:trHeight w:val="576"/>
          <w:jc w:val="center"/>
        </w:trPr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30CC064" w14:textId="77777777" w:rsidR="00212444" w:rsidRDefault="00B063E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28-30</w:t>
            </w:r>
          </w:p>
        </w:tc>
        <w:tc>
          <w:tcPr>
            <w:tcW w:w="2778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2B3D9B44" w14:textId="77777777" w:rsidR="00212444" w:rsidRDefault="002124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5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57A387F" w14:textId="77777777" w:rsidR="00212444" w:rsidRDefault="00B063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Federalism, urban </w:t>
            </w:r>
            <w:proofErr w:type="spellStart"/>
            <w:r>
              <w:rPr>
                <w:color w:val="000000"/>
              </w:rPr>
              <w:t>decentralisation</w:t>
            </w:r>
            <w:proofErr w:type="spellEnd"/>
            <w:r>
              <w:rPr>
                <w:color w:val="000000"/>
              </w:rPr>
              <w:t xml:space="preserve"> and citizen participation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CD65433" w14:textId="77777777" w:rsidR="00212444" w:rsidRDefault="00B063E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Chapter 16</w:t>
            </w:r>
          </w:p>
        </w:tc>
      </w:tr>
      <w:tr w:rsidR="00212444" w14:paraId="4B6DF233" w14:textId="77777777">
        <w:trPr>
          <w:trHeight w:val="576"/>
          <w:jc w:val="center"/>
        </w:trPr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A349D7" w14:textId="77777777" w:rsidR="00212444" w:rsidRDefault="00B063E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31-33</w:t>
            </w:r>
          </w:p>
        </w:tc>
        <w:tc>
          <w:tcPr>
            <w:tcW w:w="2778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45549E4A" w14:textId="77777777" w:rsidR="00212444" w:rsidRDefault="002124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5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4946E9" w14:textId="77777777" w:rsidR="00212444" w:rsidRDefault="00B063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Poverty alleviation and efforts of panchayats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32442B" w14:textId="77777777" w:rsidR="00212444" w:rsidRDefault="00B063E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Chapter 11</w:t>
            </w:r>
          </w:p>
        </w:tc>
      </w:tr>
      <w:tr w:rsidR="00212444" w14:paraId="034EBAAE" w14:textId="77777777">
        <w:trPr>
          <w:trHeight w:val="685"/>
          <w:jc w:val="center"/>
        </w:trPr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3F15A6E" w14:textId="77777777" w:rsidR="00212444" w:rsidRDefault="00B063E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34-36</w:t>
            </w:r>
          </w:p>
        </w:tc>
        <w:tc>
          <w:tcPr>
            <w:tcW w:w="277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6D2707DF" w14:textId="77777777" w:rsidR="00212444" w:rsidRDefault="00B063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To elaborate on the challenges and prospects of local government and participation</w:t>
            </w:r>
          </w:p>
        </w:tc>
        <w:tc>
          <w:tcPr>
            <w:tcW w:w="5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D65F505" w14:textId="77777777" w:rsidR="00212444" w:rsidRDefault="00B063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Neighborhood associations and local democracy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B756FCD" w14:textId="77777777" w:rsidR="00212444" w:rsidRDefault="00B063E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Chapter 19</w:t>
            </w:r>
          </w:p>
        </w:tc>
      </w:tr>
      <w:tr w:rsidR="00212444" w14:paraId="4B99B0C7" w14:textId="77777777">
        <w:trPr>
          <w:trHeight w:val="397"/>
          <w:jc w:val="center"/>
        </w:trPr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E5C6951" w14:textId="77777777" w:rsidR="00212444" w:rsidRDefault="00B063E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37-39</w:t>
            </w:r>
          </w:p>
        </w:tc>
        <w:tc>
          <w:tcPr>
            <w:tcW w:w="2778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3A414CE7" w14:textId="77777777" w:rsidR="00212444" w:rsidRDefault="002124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5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3009DD" w14:textId="77777777" w:rsidR="00212444" w:rsidRDefault="00B063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Law of two-child norm in Panchayat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BF75C39" w14:textId="77777777" w:rsidR="00212444" w:rsidRDefault="00B063E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Chapter 15</w:t>
            </w:r>
          </w:p>
        </w:tc>
      </w:tr>
      <w:tr w:rsidR="00212444" w14:paraId="31B2065C" w14:textId="77777777">
        <w:trPr>
          <w:trHeight w:val="576"/>
          <w:jc w:val="center"/>
        </w:trPr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21F935D" w14:textId="77777777" w:rsidR="00212444" w:rsidRDefault="00B063E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40-42</w:t>
            </w:r>
          </w:p>
        </w:tc>
        <w:tc>
          <w:tcPr>
            <w:tcW w:w="2778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70654527" w14:textId="77777777" w:rsidR="00212444" w:rsidRDefault="002124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5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81AD85C" w14:textId="77777777" w:rsidR="00212444" w:rsidRDefault="00B063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Beyond feminine public altruism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8EB308B" w14:textId="77777777" w:rsidR="00212444" w:rsidRDefault="00B063E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Chapter 25</w:t>
            </w:r>
          </w:p>
        </w:tc>
      </w:tr>
    </w:tbl>
    <w:p w14:paraId="15AAC44D" w14:textId="77777777" w:rsidR="00212444" w:rsidRDefault="00212444">
      <w:pPr>
        <w:jc w:val="both"/>
        <w:rPr>
          <w:b/>
          <w:color w:val="000000"/>
        </w:rPr>
      </w:pPr>
    </w:p>
    <w:p w14:paraId="53397F62" w14:textId="77777777" w:rsidR="00212444" w:rsidRDefault="00B063E6">
      <w:pPr>
        <w:jc w:val="both"/>
        <w:rPr>
          <w:b/>
          <w:color w:val="000000"/>
        </w:rPr>
      </w:pPr>
      <w:r>
        <w:rPr>
          <w:b/>
          <w:color w:val="000000"/>
        </w:rPr>
        <w:t>Evaluation Scheme:</w:t>
      </w:r>
    </w:p>
    <w:p w14:paraId="5FD8C265" w14:textId="77777777" w:rsidR="00212444" w:rsidRDefault="00212444">
      <w:pPr>
        <w:jc w:val="both"/>
        <w:rPr>
          <w:b/>
          <w:color w:val="000000"/>
        </w:rPr>
      </w:pPr>
    </w:p>
    <w:tbl>
      <w:tblPr>
        <w:tblStyle w:val="a0"/>
        <w:tblW w:w="1101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12"/>
        <w:gridCol w:w="1505"/>
        <w:gridCol w:w="1685"/>
        <w:gridCol w:w="3384"/>
        <w:gridCol w:w="1630"/>
      </w:tblGrid>
      <w:tr w:rsidR="00212444" w14:paraId="158C9C8B" w14:textId="77777777">
        <w:trPr>
          <w:trHeight w:val="422"/>
          <w:jc w:val="center"/>
        </w:trPr>
        <w:tc>
          <w:tcPr>
            <w:tcW w:w="2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19A676D5" w14:textId="77777777" w:rsidR="00212444" w:rsidRDefault="00B063E6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Component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22299090" w14:textId="77777777" w:rsidR="00212444" w:rsidRDefault="00B063E6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Duration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2F9BAD38" w14:textId="77777777" w:rsidR="00212444" w:rsidRDefault="00B063E6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Weightage (%)</w:t>
            </w:r>
          </w:p>
        </w:tc>
        <w:tc>
          <w:tcPr>
            <w:tcW w:w="3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02510D12" w14:textId="77777777" w:rsidR="00212444" w:rsidRDefault="00B063E6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Date &amp; Time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7A6F2934" w14:textId="77777777" w:rsidR="00212444" w:rsidRDefault="00B063E6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Nature of Component</w:t>
            </w:r>
          </w:p>
        </w:tc>
      </w:tr>
      <w:tr w:rsidR="00212444" w14:paraId="50FC5176" w14:textId="77777777">
        <w:trPr>
          <w:trHeight w:val="530"/>
          <w:jc w:val="center"/>
        </w:trPr>
        <w:tc>
          <w:tcPr>
            <w:tcW w:w="2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E3339" w14:textId="77777777" w:rsidR="00212444" w:rsidRDefault="00B063E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Test 1 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FEA6D" w14:textId="77777777" w:rsidR="00212444" w:rsidRDefault="00B063E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30 min.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10D79" w14:textId="77777777" w:rsidR="00212444" w:rsidRDefault="00B063E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3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EA56F" w14:textId="77777777" w:rsidR="00212444" w:rsidRDefault="00B063E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September 10 –September 20 (During scheduled class hour)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D824C" w14:textId="77777777" w:rsidR="00212444" w:rsidRDefault="00B063E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Open Book</w:t>
            </w:r>
          </w:p>
        </w:tc>
      </w:tr>
      <w:tr w:rsidR="00212444" w14:paraId="2CCCF451" w14:textId="77777777">
        <w:trPr>
          <w:trHeight w:val="530"/>
          <w:jc w:val="center"/>
        </w:trPr>
        <w:tc>
          <w:tcPr>
            <w:tcW w:w="2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DEA04" w14:textId="77777777" w:rsidR="00212444" w:rsidRDefault="00B063E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Test 2 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7869A" w14:textId="77777777" w:rsidR="00212444" w:rsidRDefault="00B063E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30 min.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39231" w14:textId="77777777" w:rsidR="00212444" w:rsidRDefault="00B063E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3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C503F" w14:textId="77777777" w:rsidR="00212444" w:rsidRDefault="00B063E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October 09 –October 20 (During scheduled class hour)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F50D6" w14:textId="77777777" w:rsidR="00212444" w:rsidRDefault="00B063E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Open Book</w:t>
            </w:r>
          </w:p>
        </w:tc>
      </w:tr>
      <w:tr w:rsidR="00212444" w14:paraId="65D29A8E" w14:textId="77777777">
        <w:trPr>
          <w:trHeight w:val="530"/>
          <w:jc w:val="center"/>
        </w:trPr>
        <w:tc>
          <w:tcPr>
            <w:tcW w:w="2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58158" w14:textId="77777777" w:rsidR="00212444" w:rsidRDefault="00B063E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Assignment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FF678" w14:textId="77777777" w:rsidR="00212444" w:rsidRDefault="00B063E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F29D7" w14:textId="77777777" w:rsidR="00212444" w:rsidRDefault="00B063E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</w:t>
            </w:r>
          </w:p>
        </w:tc>
        <w:tc>
          <w:tcPr>
            <w:tcW w:w="3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50B8C" w14:textId="77777777" w:rsidR="00212444" w:rsidRDefault="00B063E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Completed by Third Week of October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8F02C" w14:textId="77777777" w:rsidR="00212444" w:rsidRDefault="00B063E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Open Book</w:t>
            </w:r>
          </w:p>
        </w:tc>
      </w:tr>
      <w:tr w:rsidR="00212444" w14:paraId="54A276DE" w14:textId="77777777">
        <w:trPr>
          <w:trHeight w:val="530"/>
          <w:jc w:val="center"/>
        </w:trPr>
        <w:tc>
          <w:tcPr>
            <w:tcW w:w="2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019DE" w14:textId="77777777" w:rsidR="00212444" w:rsidRDefault="00B063E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Test 3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D4325" w14:textId="77777777" w:rsidR="00212444" w:rsidRDefault="00B063E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30 min.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5D90D" w14:textId="77777777" w:rsidR="00212444" w:rsidRDefault="00B063E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3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4B62A" w14:textId="77777777" w:rsidR="00212444" w:rsidRDefault="00B063E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November 10 – November 20 (During scheduled class hour)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D5F6B" w14:textId="77777777" w:rsidR="00212444" w:rsidRDefault="00B063E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Open Book</w:t>
            </w:r>
          </w:p>
        </w:tc>
      </w:tr>
      <w:tr w:rsidR="00212444" w14:paraId="62095ACB" w14:textId="77777777">
        <w:trPr>
          <w:trHeight w:val="530"/>
          <w:jc w:val="center"/>
        </w:trPr>
        <w:tc>
          <w:tcPr>
            <w:tcW w:w="2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70B2C" w14:textId="77777777" w:rsidR="00212444" w:rsidRDefault="00B063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center"/>
              <w:rPr>
                <w:color w:val="000000"/>
              </w:rPr>
            </w:pPr>
            <w:r>
              <w:rPr>
                <w:color w:val="000000"/>
              </w:rPr>
              <w:t>Comprehensive Examination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47FBC" w14:textId="77777777" w:rsidR="00212444" w:rsidRDefault="00B063E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120 minutes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526BD" w14:textId="77777777" w:rsidR="00212444" w:rsidRDefault="00B063E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35</w:t>
            </w:r>
          </w:p>
        </w:tc>
        <w:tc>
          <w:tcPr>
            <w:tcW w:w="3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BF987" w14:textId="77777777" w:rsidR="00212444" w:rsidRDefault="00B063E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As announced in the Timetable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073DA" w14:textId="77777777" w:rsidR="00212444" w:rsidRDefault="00B063E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Open Book</w:t>
            </w:r>
          </w:p>
        </w:tc>
      </w:tr>
    </w:tbl>
    <w:p w14:paraId="1BED0D77" w14:textId="77777777" w:rsidR="00212444" w:rsidRDefault="00212444">
      <w:pPr>
        <w:jc w:val="both"/>
        <w:rPr>
          <w:color w:val="000000"/>
        </w:rPr>
      </w:pPr>
    </w:p>
    <w:p w14:paraId="702A6166" w14:textId="77777777" w:rsidR="00212444" w:rsidRDefault="00B063E6">
      <w:pPr>
        <w:spacing w:before="120" w:after="120"/>
        <w:jc w:val="both"/>
        <w:rPr>
          <w:color w:val="000000"/>
        </w:rPr>
      </w:pPr>
      <w:r>
        <w:rPr>
          <w:b/>
          <w:color w:val="000000"/>
        </w:rPr>
        <w:t>Chamber Consultation Hour:</w:t>
      </w:r>
      <w:r>
        <w:rPr>
          <w:color w:val="000000"/>
        </w:rPr>
        <w:t xml:space="preserve"> A Google Meet link along with consultation hours will be shared on the CMS.</w:t>
      </w:r>
    </w:p>
    <w:p w14:paraId="24E777B9" w14:textId="77777777" w:rsidR="00212444" w:rsidRDefault="00B063E6">
      <w:pPr>
        <w:spacing w:before="120" w:after="120"/>
        <w:jc w:val="both"/>
        <w:rPr>
          <w:color w:val="000000"/>
        </w:rPr>
      </w:pPr>
      <w:r>
        <w:rPr>
          <w:b/>
          <w:color w:val="000000"/>
        </w:rPr>
        <w:lastRenderedPageBreak/>
        <w:t>Notices:</w:t>
      </w:r>
      <w:r>
        <w:rPr>
          <w:color w:val="000000"/>
        </w:rPr>
        <w:t xml:space="preserve"> Notices will be displayed </w:t>
      </w:r>
      <w:r>
        <w:rPr>
          <w:b/>
          <w:color w:val="000000"/>
        </w:rPr>
        <w:t>only</w:t>
      </w:r>
      <w:r>
        <w:rPr>
          <w:color w:val="000000"/>
        </w:rPr>
        <w:t xml:space="preserve"> on CMS </w:t>
      </w:r>
    </w:p>
    <w:p w14:paraId="5EE8BCD0" w14:textId="77777777" w:rsidR="00212444" w:rsidRDefault="00B063E6">
      <w:pPr>
        <w:spacing w:before="120" w:after="120"/>
        <w:jc w:val="both"/>
        <w:rPr>
          <w:color w:val="000000"/>
        </w:rPr>
      </w:pPr>
      <w:bookmarkStart w:id="0" w:name="_gjdgxs" w:colFirst="0" w:colLast="0"/>
      <w:bookmarkEnd w:id="0"/>
      <w:r>
        <w:rPr>
          <w:b/>
          <w:color w:val="000000"/>
        </w:rPr>
        <w:t xml:space="preserve">Make-up: </w:t>
      </w:r>
      <w:r>
        <w:rPr>
          <w:color w:val="000000"/>
        </w:rPr>
        <w:t>The make-up for an evaluation component will be given only in genuine cases with documentary proof.</w:t>
      </w:r>
    </w:p>
    <w:p w14:paraId="21A051C7" w14:textId="77777777" w:rsidR="00212444" w:rsidRDefault="00B063E6">
      <w:pPr>
        <w:spacing w:before="120" w:after="120"/>
        <w:jc w:val="both"/>
        <w:rPr>
          <w:color w:val="000000"/>
        </w:rPr>
      </w:pPr>
      <w:r>
        <w:rPr>
          <w:b/>
          <w:color w:val="000000"/>
        </w:rPr>
        <w:t>Academic Honesty and Integrity Policy</w:t>
      </w:r>
      <w:r>
        <w:rPr>
          <w:color w:val="000000"/>
        </w:rPr>
        <w:t>: Academic honesty and integrity are to be maintained by all the students throughout the semester and no type of academic dishonesty is acceptable</w:t>
      </w:r>
    </w:p>
    <w:p w14:paraId="1E6E0D72" w14:textId="77777777" w:rsidR="00212444" w:rsidRDefault="00212444">
      <w:pPr>
        <w:jc w:val="right"/>
        <w:rPr>
          <w:color w:val="000000"/>
        </w:rPr>
      </w:pPr>
    </w:p>
    <w:p w14:paraId="7F069332" w14:textId="77777777" w:rsidR="00212444" w:rsidRDefault="00B063E6">
      <w:pPr>
        <w:jc w:val="right"/>
        <w:rPr>
          <w:b/>
          <w:color w:val="000000"/>
        </w:rPr>
      </w:pPr>
      <w:r>
        <w:rPr>
          <w:b/>
          <w:color w:val="000000"/>
        </w:rPr>
        <w:t xml:space="preserve">Dr. Lavanya Suresh    </w:t>
      </w:r>
    </w:p>
    <w:p w14:paraId="3A49DBA0" w14:textId="77777777" w:rsidR="00212444" w:rsidRDefault="00212444">
      <w:pPr>
        <w:jc w:val="right"/>
        <w:rPr>
          <w:b/>
          <w:color w:val="000000"/>
        </w:rPr>
      </w:pPr>
    </w:p>
    <w:p w14:paraId="3E7B69B5" w14:textId="77777777" w:rsidR="00212444" w:rsidRDefault="00B063E6">
      <w:pPr>
        <w:jc w:val="right"/>
        <w:rPr>
          <w:b/>
          <w:color w:val="000000"/>
        </w:rPr>
      </w:pPr>
      <w:bookmarkStart w:id="1" w:name="_GoBack"/>
      <w:bookmarkEnd w:id="1"/>
      <w:r>
        <w:rPr>
          <w:b/>
          <w:color w:val="000000"/>
        </w:rPr>
        <w:t xml:space="preserve"> INSTRUCTOR-IN-CHARGE</w:t>
      </w:r>
    </w:p>
    <w:sectPr w:rsidR="00212444">
      <w:headerReference w:type="default" r:id="rId9"/>
      <w:footerReference w:type="default" r:id="rId10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FB99DB" w14:textId="77777777" w:rsidR="00B063E6" w:rsidRDefault="00B063E6">
      <w:r>
        <w:separator/>
      </w:r>
    </w:p>
  </w:endnote>
  <w:endnote w:type="continuationSeparator" w:id="0">
    <w:p w14:paraId="7640F96A" w14:textId="77777777" w:rsidR="00B063E6" w:rsidRDefault="00B063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08E2E2" w14:textId="77777777" w:rsidR="00212444" w:rsidRDefault="00B063E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noProof/>
        <w:color w:val="000000"/>
      </w:rPr>
      <w:drawing>
        <wp:inline distT="0" distB="0" distL="114300" distR="114300" wp14:anchorId="2FF83EC6" wp14:editId="618CFF8E">
          <wp:extent cx="1648460" cy="594360"/>
          <wp:effectExtent l="0" t="0" r="0" b="0"/>
          <wp:docPr id="2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48460" cy="5943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111392" w14:textId="77777777" w:rsidR="00B063E6" w:rsidRDefault="00B063E6">
      <w:r>
        <w:separator/>
      </w:r>
    </w:p>
  </w:footnote>
  <w:footnote w:type="continuationSeparator" w:id="0">
    <w:p w14:paraId="6B474CE0" w14:textId="77777777" w:rsidR="00B063E6" w:rsidRDefault="00B063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ADEEBF" w14:textId="77777777" w:rsidR="00212444" w:rsidRDefault="0021244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C52CB"/>
    <w:multiLevelType w:val="multilevel"/>
    <w:tmpl w:val="1CF68B3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E927C1"/>
    <w:multiLevelType w:val="multilevel"/>
    <w:tmpl w:val="7C320D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2444"/>
    <w:rsid w:val="00212444"/>
    <w:rsid w:val="0036026C"/>
    <w:rsid w:val="00B06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8CF5E"/>
  <w15:docId w15:val="{DFDB4916-312E-44B9-B8E8-CC66D7AF2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outlineLvl w:val="1"/>
    </w:pPr>
    <w:rPr>
      <w:i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jc w:val="center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kgandhi.org/ebks/panchayat_raj.pd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669</Words>
  <Characters>3819</Characters>
  <Application>Microsoft Office Word</Application>
  <DocSecurity>0</DocSecurity>
  <Lines>31</Lines>
  <Paragraphs>8</Paragraphs>
  <ScaleCrop>false</ScaleCrop>
  <Company/>
  <LinksUpToDate>false</LinksUpToDate>
  <CharactersWithSpaces>4480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Varimadugu, Nagarjuna</cp:lastModifiedBy>
  <cp:revision>2</cp:revision>
  <dcterms:created xsi:type="dcterms:W3CDTF">2020-08-17T16:33:00Z</dcterms:created>
  <dcterms:modified xsi:type="dcterms:W3CDTF">2020-08-17T16:33:00Z</dcterms:modified>
</cp:coreProperties>
</file>