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6B" w:rsidRDefault="00C103E8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C6B" w:rsidRDefault="00A17340">
      <w:pPr>
        <w:jc w:val="center"/>
        <w:rPr>
          <w:b/>
        </w:rPr>
      </w:pPr>
      <w:r>
        <w:rPr>
          <w:b/>
        </w:rPr>
        <w:t>SECOND</w:t>
      </w:r>
      <w:r w:rsidR="00C103E8">
        <w:rPr>
          <w:b/>
        </w:rPr>
        <w:t xml:space="preserve"> SEMESTER 2020-2021</w:t>
      </w:r>
    </w:p>
    <w:p w:rsidR="00A23C6B" w:rsidRDefault="00C103E8">
      <w:pPr>
        <w:pStyle w:val="Heading1"/>
        <w:jc w:val="center"/>
      </w:pPr>
      <w:r>
        <w:t>Course Handout Part II</w:t>
      </w:r>
    </w:p>
    <w:p w:rsidR="00A23C6B" w:rsidRDefault="00FA360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16-01</w:t>
      </w:r>
      <w:r w:rsidR="00C103E8">
        <w:t>-202</w:t>
      </w:r>
      <w:r>
        <w:t>1</w:t>
      </w:r>
      <w:bookmarkStart w:id="0" w:name="_GoBack"/>
      <w:bookmarkEnd w:id="0"/>
      <w:r w:rsidR="00C103E8">
        <w:t xml:space="preserve"> </w:t>
      </w:r>
    </w:p>
    <w:p w:rsidR="00A23C6B" w:rsidRDefault="00C103E8">
      <w:pPr>
        <w:jc w:val="both"/>
      </w:pPr>
      <w:r>
        <w:t>In addition to part I (General Handout for all courses appended to the time table) this portion gives further specific details regarding the course.</w:t>
      </w:r>
    </w:p>
    <w:p w:rsidR="00A23C6B" w:rsidRDefault="00A23C6B">
      <w:pPr>
        <w:jc w:val="both"/>
      </w:pPr>
    </w:p>
    <w:p w:rsidR="00A23C6B" w:rsidRDefault="00C103E8">
      <w:pPr>
        <w:jc w:val="both"/>
      </w:pPr>
      <w:r>
        <w:rPr>
          <w:i/>
        </w:rPr>
        <w:t>Course No</w:t>
      </w:r>
      <w:r>
        <w:t>.</w:t>
      </w:r>
      <w:r w:rsidR="000D2783">
        <w:tab/>
      </w:r>
      <w:r w:rsidR="000D2783">
        <w:tab/>
      </w:r>
      <w:r w:rsidR="000D2783">
        <w:tab/>
        <w:t xml:space="preserve">: </w:t>
      </w:r>
      <w:r w:rsidR="001F020F" w:rsidRPr="001F020F">
        <w:t>HSS F</w:t>
      </w:r>
      <w:r w:rsidR="00980114">
        <w:t>368</w:t>
      </w:r>
    </w:p>
    <w:p w:rsidR="00A23C6B" w:rsidRDefault="00C103E8">
      <w:pPr>
        <w:jc w:val="both"/>
      </w:pPr>
      <w:r>
        <w:rPr>
          <w:i/>
        </w:rPr>
        <w:t>Course Title</w:t>
      </w:r>
      <w:r w:rsidR="000D2783">
        <w:rPr>
          <w:i/>
        </w:rPr>
        <w:tab/>
      </w:r>
      <w:r w:rsidR="000D2783">
        <w:rPr>
          <w:i/>
        </w:rPr>
        <w:tab/>
      </w:r>
      <w:r w:rsidR="000D2783">
        <w:rPr>
          <w:i/>
        </w:rPr>
        <w:tab/>
      </w:r>
      <w:r w:rsidR="000D2783">
        <w:t xml:space="preserve">:  </w:t>
      </w:r>
      <w:r w:rsidR="007608DC" w:rsidRPr="007608DC">
        <w:t>Asian Cinemas and Cultures</w:t>
      </w:r>
      <w:r>
        <w:tab/>
      </w:r>
    </w:p>
    <w:p w:rsidR="00A23C6B" w:rsidRDefault="00C103E8">
      <w:pPr>
        <w:jc w:val="both"/>
      </w:pPr>
      <w:r>
        <w:rPr>
          <w:i/>
        </w:rPr>
        <w:t>Instructor-in-</w:t>
      </w:r>
      <w:proofErr w:type="gramStart"/>
      <w:r>
        <w:rPr>
          <w:i/>
        </w:rPr>
        <w:t>charge</w:t>
      </w:r>
      <w:r w:rsidR="000D2783">
        <w:rPr>
          <w:i/>
        </w:rPr>
        <w:t xml:space="preserve">  </w:t>
      </w:r>
      <w:r w:rsidR="000D2783">
        <w:rPr>
          <w:i/>
        </w:rPr>
        <w:tab/>
      </w:r>
      <w:proofErr w:type="gramEnd"/>
      <w:r w:rsidR="000D2783">
        <w:rPr>
          <w:i/>
        </w:rPr>
        <w:tab/>
        <w:t xml:space="preserve"> </w:t>
      </w:r>
      <w:r w:rsidR="000D2783">
        <w:t xml:space="preserve">: </w:t>
      </w:r>
      <w:proofErr w:type="spellStart"/>
      <w:r w:rsidR="002750C5">
        <w:t>Spandan</w:t>
      </w:r>
      <w:proofErr w:type="spellEnd"/>
      <w:r w:rsidR="002750C5">
        <w:t xml:space="preserve"> </w:t>
      </w:r>
      <w:proofErr w:type="spellStart"/>
      <w:r w:rsidR="002750C5">
        <w:t>Bhattcharya</w:t>
      </w:r>
      <w:proofErr w:type="spellEnd"/>
      <w:r>
        <w:t xml:space="preserve"> </w:t>
      </w:r>
    </w:p>
    <w:p w:rsidR="00A23C6B" w:rsidRDefault="00C103E8">
      <w:pPr>
        <w:jc w:val="both"/>
        <w:rPr>
          <w:b/>
        </w:rPr>
      </w:pPr>
      <w:r>
        <w:rPr>
          <w:b/>
        </w:rPr>
        <w:tab/>
      </w: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Scope and Objectives of the course: </w:t>
      </w:r>
    </w:p>
    <w:p w:rsidR="00B5139E" w:rsidRPr="00DA5057" w:rsidRDefault="00B5139E" w:rsidP="00DA5057">
      <w:pPr>
        <w:jc w:val="both"/>
        <w:rPr>
          <w:color w:val="272727"/>
        </w:rPr>
      </w:pPr>
      <w:r w:rsidRPr="00DA5057">
        <w:rPr>
          <w:color w:val="272727"/>
        </w:rPr>
        <w:t xml:space="preserve">This course focuses on Asian cinemas and cultures with a special emphasis on their cine-political histories, cultural transactions and transnational aspects. </w:t>
      </w:r>
      <w:r w:rsidRPr="00DA5057">
        <w:rPr>
          <w:spacing w:val="-2"/>
        </w:rPr>
        <w:t>This course intends to make our students familiar with</w:t>
      </w:r>
      <w:r w:rsidRPr="00DA5057">
        <w:rPr>
          <w:color w:val="272727"/>
        </w:rPr>
        <w:t xml:space="preserve"> examples mainly from cinema (both popular and 'art' film), but the course also engages with other forms of media culture</w:t>
      </w:r>
      <w:r w:rsidR="00DA5057">
        <w:rPr>
          <w:color w:val="272727"/>
        </w:rPr>
        <w:t xml:space="preserve"> including</w:t>
      </w:r>
      <w:r w:rsidRPr="00DA5057">
        <w:rPr>
          <w:color w:val="272727"/>
        </w:rPr>
        <w:t xml:space="preserve"> television</w:t>
      </w:r>
      <w:r w:rsidR="00DA5057">
        <w:rPr>
          <w:color w:val="272727"/>
        </w:rPr>
        <w:t>, music video and internet</w:t>
      </w:r>
      <w:r w:rsidRPr="00DA5057">
        <w:rPr>
          <w:color w:val="272727"/>
        </w:rPr>
        <w:t xml:space="preserve">. These </w:t>
      </w:r>
      <w:r w:rsidR="00DA5057">
        <w:rPr>
          <w:color w:val="272727"/>
        </w:rPr>
        <w:t xml:space="preserve">media </w:t>
      </w:r>
      <w:r w:rsidRPr="00DA5057">
        <w:rPr>
          <w:color w:val="272727"/>
        </w:rPr>
        <w:t>texts will be approached and studied through analysis of the contexts of their production, distribution, and consumption as well as through textual analysis.</w:t>
      </w:r>
      <w:r w:rsidR="00DA5057">
        <w:rPr>
          <w:color w:val="272727"/>
        </w:rPr>
        <w:t xml:space="preserve"> </w:t>
      </w:r>
      <w:r w:rsidRPr="00DA5057">
        <w:rPr>
          <w:color w:val="272727"/>
        </w:rPr>
        <w:t>The course proposes to offer students an understanding of Asian cinemas from the perspective of national cultural framework and also through the lens of transnationalism</w:t>
      </w:r>
      <w:r w:rsidR="00DA5057" w:rsidRPr="00DA5057">
        <w:rPr>
          <w:color w:val="272727"/>
        </w:rPr>
        <w:t xml:space="preserve">. </w:t>
      </w:r>
      <w:r w:rsidRPr="00DA5057">
        <w:rPr>
          <w:color w:val="272727"/>
        </w:rPr>
        <w:t>Students completing the course will be familiar with case studies including those from Hong Kong, China</w:t>
      </w:r>
      <w:r w:rsidR="00DA5057" w:rsidRPr="00DA5057">
        <w:rPr>
          <w:color w:val="272727"/>
        </w:rPr>
        <w:t>, Taiwan, South Korea,</w:t>
      </w:r>
      <w:r w:rsidRPr="00DA5057">
        <w:rPr>
          <w:color w:val="272727"/>
        </w:rPr>
        <w:t xml:space="preserve"> Japan, </w:t>
      </w:r>
      <w:r w:rsidR="00DA5057" w:rsidRPr="00DA5057">
        <w:rPr>
          <w:color w:val="272727"/>
        </w:rPr>
        <w:t xml:space="preserve">Iran, </w:t>
      </w:r>
      <w:r w:rsidRPr="00DA5057">
        <w:rPr>
          <w:color w:val="272727"/>
        </w:rPr>
        <w:t>Thailand and India.</w:t>
      </w:r>
    </w:p>
    <w:p w:rsidR="00B5139E" w:rsidRDefault="00B5139E" w:rsidP="007608DC">
      <w:pPr>
        <w:jc w:val="both"/>
        <w:rPr>
          <w:rFonts w:ascii="Garamond" w:hAnsi="Garamond"/>
          <w:spacing w:val="-2"/>
          <w:sz w:val="28"/>
          <w:szCs w:val="28"/>
        </w:rPr>
      </w:pPr>
    </w:p>
    <w:p w:rsidR="00AE54BC" w:rsidRPr="00463BFF" w:rsidRDefault="00C103E8" w:rsidP="00463BFF">
      <w:pPr>
        <w:spacing w:after="80"/>
        <w:jc w:val="both"/>
        <w:rPr>
          <w:b/>
        </w:rPr>
      </w:pPr>
      <w:r w:rsidRPr="00A57026">
        <w:rPr>
          <w:b/>
        </w:rPr>
        <w:t>Objectives:</w:t>
      </w:r>
      <w:r w:rsidR="00463BFF">
        <w:rPr>
          <w:b/>
        </w:rPr>
        <w:t xml:space="preserve"> </w:t>
      </w:r>
      <w:r w:rsidR="00463BFF" w:rsidRPr="00463BFF">
        <w:t>This course will</w:t>
      </w:r>
      <w:r w:rsidR="00463BFF">
        <w:rPr>
          <w:b/>
        </w:rPr>
        <w:t xml:space="preserve"> f</w:t>
      </w:r>
      <w:r w:rsidR="007B379C">
        <w:t xml:space="preserve">amiliarize students with the </w:t>
      </w:r>
      <w:r w:rsidR="00AE54BC">
        <w:t>historical contexts</w:t>
      </w:r>
      <w:r w:rsidR="00DA5057">
        <w:t xml:space="preserve"> of Asia</w:t>
      </w:r>
      <w:r w:rsidR="00AE54BC">
        <w:t>n cinemas</w:t>
      </w:r>
      <w:r w:rsidR="00DA5057">
        <w:t xml:space="preserve"> </w:t>
      </w:r>
      <w:r w:rsidR="00AE54BC" w:rsidRPr="00DA5057">
        <w:rPr>
          <w:color w:val="272727"/>
        </w:rPr>
        <w:t>wit</w:t>
      </w:r>
      <w:r w:rsidR="007915B4">
        <w:rPr>
          <w:color w:val="272727"/>
        </w:rPr>
        <w:t>h</w:t>
      </w:r>
      <w:r w:rsidR="00AE54BC">
        <w:rPr>
          <w:color w:val="272727"/>
        </w:rPr>
        <w:t xml:space="preserve"> from China, </w:t>
      </w:r>
      <w:r w:rsidR="00AE54BC" w:rsidRPr="00DA5057">
        <w:rPr>
          <w:color w:val="272727"/>
        </w:rPr>
        <w:t>Hong Kong, China</w:t>
      </w:r>
      <w:r w:rsidR="00AE54BC">
        <w:rPr>
          <w:color w:val="272727"/>
        </w:rPr>
        <w:t>, Taiwan and some other countries</w:t>
      </w:r>
      <w:r w:rsidR="00AE54BC" w:rsidRPr="00DA5057">
        <w:rPr>
          <w:color w:val="272727"/>
        </w:rPr>
        <w:t>.</w:t>
      </w:r>
      <w:r w:rsidR="00463BFF">
        <w:rPr>
          <w:color w:val="272727"/>
        </w:rPr>
        <w:t xml:space="preserve"> It will i</w:t>
      </w:r>
      <w:r w:rsidR="00AE54BC" w:rsidRPr="00006422">
        <w:t xml:space="preserve">ntroduce some of the </w:t>
      </w:r>
      <w:r w:rsidR="00AE54BC" w:rsidRPr="00006422">
        <w:rPr>
          <w:color w:val="272727"/>
        </w:rPr>
        <w:t xml:space="preserve">key recent film movements, film genres and auteurs from Asian cinemas. </w:t>
      </w:r>
    </w:p>
    <w:p w:rsidR="00AE54BC" w:rsidRPr="00DA5057" w:rsidRDefault="00AE54BC" w:rsidP="00AE54BC">
      <w:pPr>
        <w:jc w:val="both"/>
        <w:rPr>
          <w:color w:val="272727"/>
        </w:rPr>
      </w:pP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Textbook: </w:t>
      </w:r>
    </w:p>
    <w:p w:rsidR="006D4ED8" w:rsidRPr="00006422" w:rsidRDefault="006D4ED8" w:rsidP="00463BFF">
      <w:pPr>
        <w:pStyle w:val="ListParagraph"/>
        <w:numPr>
          <w:ilvl w:val="0"/>
          <w:numId w:val="2"/>
        </w:numPr>
      </w:pPr>
      <w:r w:rsidRPr="00006422">
        <w:t xml:space="preserve">Lee, Vivian P. Y, ed. </w:t>
      </w:r>
      <w:r w:rsidRPr="00463BFF">
        <w:rPr>
          <w:i/>
        </w:rPr>
        <w:t>East Asian Cinemas: Regional Flows and Global Transformations</w:t>
      </w:r>
      <w:r w:rsidRPr="00006422">
        <w:t xml:space="preserve">. Basingstoke: Palgrave Macmillan, 2011. </w:t>
      </w:r>
    </w:p>
    <w:p w:rsidR="007B0D42" w:rsidRDefault="007B0D42">
      <w:pPr>
        <w:spacing w:after="80"/>
        <w:jc w:val="both"/>
        <w:rPr>
          <w:b/>
        </w:rPr>
      </w:pP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t xml:space="preserve">Reference Books:   </w:t>
      </w:r>
    </w:p>
    <w:p w:rsidR="00463BFF" w:rsidRDefault="006D4ED8" w:rsidP="00463BFF">
      <w:pPr>
        <w:pStyle w:val="ListParagraph"/>
        <w:numPr>
          <w:ilvl w:val="0"/>
          <w:numId w:val="3"/>
        </w:numPr>
        <w:spacing w:after="80"/>
        <w:jc w:val="both"/>
      </w:pPr>
      <w:r>
        <w:t xml:space="preserve"> Desai, </w:t>
      </w:r>
      <w:proofErr w:type="spellStart"/>
      <w:r>
        <w:t>Jigna</w:t>
      </w:r>
      <w:proofErr w:type="spellEnd"/>
      <w:r>
        <w:t xml:space="preserve">. </w:t>
      </w:r>
      <w:r w:rsidRPr="00463BFF">
        <w:rPr>
          <w:i/>
        </w:rPr>
        <w:t xml:space="preserve">Beyond Bollywood: The Cultural Politics of South Asian Diasporic Film.  </w:t>
      </w:r>
      <w:r>
        <w:t>New York and London: Routledge, 2004.</w:t>
      </w:r>
    </w:p>
    <w:p w:rsidR="00463BFF" w:rsidRPr="00463BFF" w:rsidRDefault="006D4ED8" w:rsidP="00463BFF">
      <w:pPr>
        <w:pStyle w:val="ListParagraph"/>
        <w:numPr>
          <w:ilvl w:val="0"/>
          <w:numId w:val="3"/>
        </w:numPr>
        <w:spacing w:after="80"/>
        <w:jc w:val="both"/>
      </w:pPr>
      <w:proofErr w:type="spellStart"/>
      <w:r w:rsidRPr="00463BFF">
        <w:rPr>
          <w:lang w:val="en-AU"/>
        </w:rPr>
        <w:t>Kuan-Hsing</w:t>
      </w:r>
      <w:proofErr w:type="spellEnd"/>
      <w:r w:rsidRPr="00463BFF">
        <w:rPr>
          <w:lang w:val="en-AU"/>
        </w:rPr>
        <w:t xml:space="preserve"> Chen. </w:t>
      </w:r>
      <w:r w:rsidRPr="00463BFF">
        <w:rPr>
          <w:i/>
          <w:lang w:val="en-AU"/>
        </w:rPr>
        <w:t xml:space="preserve">Asia as Method: Toward </w:t>
      </w:r>
      <w:proofErr w:type="spellStart"/>
      <w:r w:rsidRPr="00463BFF">
        <w:rPr>
          <w:i/>
          <w:lang w:val="en-AU"/>
        </w:rPr>
        <w:t>Deimperialization</w:t>
      </w:r>
      <w:proofErr w:type="spellEnd"/>
      <w:r w:rsidRPr="00463BFF">
        <w:rPr>
          <w:lang w:val="en-AU"/>
        </w:rPr>
        <w:t xml:space="preserve">. Durham and London: Duke University Press, 2010.  </w:t>
      </w:r>
    </w:p>
    <w:p w:rsidR="006D4ED8" w:rsidRPr="00006422" w:rsidRDefault="006D4ED8" w:rsidP="00463BFF">
      <w:pPr>
        <w:pStyle w:val="ListParagraph"/>
        <w:numPr>
          <w:ilvl w:val="0"/>
          <w:numId w:val="3"/>
        </w:numPr>
        <w:spacing w:after="80"/>
        <w:jc w:val="both"/>
      </w:pPr>
      <w:r w:rsidRPr="00006422">
        <w:t>Leon Hunt and Leung Wing-Fai (eds.).</w:t>
      </w:r>
      <w:r w:rsidRPr="00463BFF">
        <w:rPr>
          <w:i/>
        </w:rPr>
        <w:t xml:space="preserve"> East Asian Cinemas: Exploring Transnational Connections on Film</w:t>
      </w:r>
      <w:r w:rsidRPr="00006422">
        <w:t>. London: I. B. Tauris, 2008.</w:t>
      </w:r>
    </w:p>
    <w:p w:rsidR="00A23C6B" w:rsidRPr="00BB41AE" w:rsidRDefault="00A23C6B" w:rsidP="00BB41AE">
      <w:pPr>
        <w:spacing w:after="80"/>
        <w:jc w:val="both"/>
      </w:pPr>
    </w:p>
    <w:p w:rsidR="00A23C6B" w:rsidRDefault="00A23C6B">
      <w:pPr>
        <w:spacing w:after="80"/>
        <w:jc w:val="both"/>
        <w:rPr>
          <w:b/>
        </w:rPr>
      </w:pPr>
    </w:p>
    <w:p w:rsidR="00463BFF" w:rsidRDefault="00463BFF">
      <w:pPr>
        <w:spacing w:after="80"/>
        <w:jc w:val="both"/>
        <w:rPr>
          <w:b/>
        </w:rPr>
      </w:pPr>
    </w:p>
    <w:p w:rsidR="00A23C6B" w:rsidRDefault="00C103E8">
      <w:pPr>
        <w:spacing w:after="80"/>
        <w:jc w:val="both"/>
        <w:rPr>
          <w:b/>
        </w:rPr>
      </w:pPr>
      <w:r>
        <w:rPr>
          <w:b/>
        </w:rPr>
        <w:lastRenderedPageBreak/>
        <w:t xml:space="preserve"> Course Plan:</w:t>
      </w:r>
    </w:p>
    <w:tbl>
      <w:tblPr>
        <w:tblStyle w:val="a"/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2475"/>
        <w:gridCol w:w="3330"/>
        <w:gridCol w:w="2790"/>
      </w:tblGrid>
      <w:tr w:rsidR="007608DC" w:rsidTr="00DC5E26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608DC" w:rsidRDefault="007608DC">
            <w:pPr>
              <w:jc w:val="center"/>
              <w:rPr>
                <w:b/>
              </w:rPr>
            </w:pPr>
            <w:r>
              <w:rPr>
                <w:b/>
              </w:rPr>
              <w:t>Chapter in the Text Book and other references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463BFF">
            <w:r>
              <w:t xml:space="preserve">Comprehend course objectives and material and logistics of online classroom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Course objectives, textbook and reference book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Course Handout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2-3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463BFF">
            <w:r>
              <w:t>Acquaint oneself with Asia as critical concept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C615C">
            <w:r>
              <w:t>T</w:t>
            </w:r>
            <w:r w:rsidRPr="00DE609F">
              <w:t>he ideas of Asia, Asia as Method</w:t>
            </w:r>
            <w:r>
              <w:t xml:space="preserve">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74074C">
            <w:pPr>
              <w:jc w:val="center"/>
            </w:pPr>
            <w:r w:rsidRPr="00DE609F">
              <w:t xml:space="preserve">Selections from </w:t>
            </w:r>
            <w:r w:rsidR="0074074C">
              <w:t>R 2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4-5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463BFF">
            <w:r w:rsidRPr="002F0542">
              <w:t>Familiarize with</w:t>
            </w:r>
            <w:r>
              <w:t xml:space="preserve"> </w:t>
            </w:r>
            <w:r w:rsidRPr="00DA5057">
              <w:rPr>
                <w:color w:val="272727"/>
              </w:rPr>
              <w:t xml:space="preserve">Asian cinemas and cultures </w:t>
            </w:r>
            <w:r>
              <w:rPr>
                <w:color w:val="272727"/>
              </w:rPr>
              <w:t>from the perspective of</w:t>
            </w:r>
            <w:r w:rsidRPr="00DA5057">
              <w:rPr>
                <w:color w:val="272727"/>
              </w:rPr>
              <w:t xml:space="preserve"> cine-political histories</w:t>
            </w:r>
            <w:r>
              <w:t xml:space="preserve">.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F82BED" w:rsidRDefault="007608DC" w:rsidP="00F82BED">
            <w:pPr>
              <w:autoSpaceDE w:val="0"/>
              <w:autoSpaceDN w:val="0"/>
              <w:adjustRightInd w:val="0"/>
            </w:pPr>
            <w:r w:rsidRPr="00F82BED">
              <w:t xml:space="preserve">India and her </w:t>
            </w:r>
            <w:proofErr w:type="spellStart"/>
            <w:r w:rsidRPr="00F82BED">
              <w:t>Neighbours</w:t>
            </w:r>
            <w:proofErr w:type="spellEnd"/>
            <w:r w:rsidRPr="00F82BED">
              <w:t>: India’s Cine-Cultural Negotiations with Other Asian Countries</w:t>
            </w:r>
          </w:p>
          <w:p w:rsidR="007608DC" w:rsidRPr="00463BFF" w:rsidRDefault="007608DC" w:rsidP="00463BF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</w:p>
          <w:p w:rsidR="007608DC" w:rsidRPr="00DE609F" w:rsidRDefault="007608DC" w:rsidP="007F56A9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DE609F" w:rsidRDefault="007608DC" w:rsidP="00F82BED">
            <w:r w:rsidRPr="007F56A9">
              <w:t>S. V. Srinivas’ a)“Hong Kong Action Film in the Indian B Circuit”, b)“</w:t>
            </w:r>
            <w:proofErr w:type="spellStart"/>
            <w:r w:rsidRPr="007F56A9">
              <w:t>Rajinikanth</w:t>
            </w:r>
            <w:proofErr w:type="spellEnd"/>
            <w:r w:rsidRPr="007F56A9">
              <w:t xml:space="preserve"> in Japan”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6-7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463BFF">
            <w:r>
              <w:t xml:space="preserve">Discuss </w:t>
            </w:r>
            <w:r w:rsidR="000D2783">
              <w:t xml:space="preserve">critically </w:t>
            </w:r>
            <w:r>
              <w:t>the interrelationship between cinema and diplomacy in the</w:t>
            </w:r>
            <w:r w:rsidR="00F64488">
              <w:t xml:space="preserve"> Asian context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F82BED" w:rsidRDefault="007608DC" w:rsidP="00F82BED">
            <w:pPr>
              <w:autoSpaceDE w:val="0"/>
              <w:autoSpaceDN w:val="0"/>
              <w:adjustRightInd w:val="0"/>
            </w:pPr>
            <w:r w:rsidRPr="002C615C">
              <w:t xml:space="preserve">BRICS and ASEAN, ‘Look East Policy’: </w:t>
            </w:r>
            <w:r w:rsidRPr="002C615C">
              <w:rPr>
                <w:lang w:val="pt-BR"/>
              </w:rPr>
              <w:t>Cinema, Culture and Diplomacy; Cinema as Soft Power.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7F56A9" w:rsidRDefault="007608DC" w:rsidP="00F82BED">
            <w:r w:rsidRPr="002C615C">
              <w:t xml:space="preserve">Selections from </w:t>
            </w:r>
            <w:proofErr w:type="spellStart"/>
            <w:r w:rsidRPr="002C615C">
              <w:t>Kwang</w:t>
            </w:r>
            <w:proofErr w:type="spellEnd"/>
            <w:r w:rsidRPr="002C615C">
              <w:t xml:space="preserve"> Ho Chun’s </w:t>
            </w:r>
            <w:r w:rsidRPr="004A3643">
              <w:rPr>
                <w:i/>
              </w:rPr>
              <w:t>The BRICS Superpower Challenge: Foreign and Security Policy Analysis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8-9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0D2783" w:rsidP="00463BFF">
            <w:proofErr w:type="spellStart"/>
            <w:r>
              <w:t>Analyse</w:t>
            </w:r>
            <w:proofErr w:type="spellEnd"/>
            <w:r w:rsidR="002F0542">
              <w:t xml:space="preserve"> the frameworks of national and transnational cinema</w:t>
            </w:r>
            <w:r w:rsidR="00F64488">
              <w:t>s</w:t>
            </w:r>
            <w:r w:rsidR="007608DC"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132FE6" w:rsidP="002764FB">
            <w:pPr>
              <w:jc w:val="center"/>
            </w:pPr>
            <w:r>
              <w:t>‘National’ Cinemas from Asia</w:t>
            </w:r>
            <w:r w:rsidR="007608DC">
              <w:t xml:space="preserve"> and its transnational Circuits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15B4" w:rsidRDefault="007915B4" w:rsidP="00AA17B3">
            <w:pPr>
              <w:jc w:val="center"/>
            </w:pPr>
            <w:r>
              <w:t xml:space="preserve">Text Book Introduction </w:t>
            </w:r>
          </w:p>
          <w:p w:rsidR="007915B4" w:rsidRDefault="007915B4" w:rsidP="00AA17B3">
            <w:pPr>
              <w:jc w:val="center"/>
            </w:pPr>
            <w:r>
              <w:t>&amp;</w:t>
            </w:r>
          </w:p>
          <w:p w:rsidR="007608DC" w:rsidRDefault="007608DC" w:rsidP="00AA17B3">
            <w:pPr>
              <w:jc w:val="center"/>
            </w:pPr>
            <w:r>
              <w:t xml:space="preserve">R 1. Chapter 1 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10-12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463BFF">
            <w:r w:rsidRPr="002F0542">
              <w:t xml:space="preserve">Acquaint oneself with </w:t>
            </w:r>
            <w:r w:rsidR="004A3643">
              <w:t>the concept</w:t>
            </w:r>
            <w:r>
              <w:t xml:space="preserve"> of diaspora cinema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750C5">
            <w:pPr>
              <w:jc w:val="center"/>
            </w:pPr>
            <w:r w:rsidRPr="002764FB">
              <w:t>Asian diaspora cinema</w:t>
            </w:r>
            <w:r>
              <w:t xml:space="preserve"> and new media forms: </w:t>
            </w:r>
          </w:p>
          <w:p w:rsidR="007608DC" w:rsidRDefault="007608DC" w:rsidP="002750C5">
            <w:pPr>
              <w:jc w:val="center"/>
            </w:pPr>
            <w:r>
              <w:t>(Malayali Diaspora in focus)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F64488" w:rsidP="002750C5">
            <w:pPr>
              <w:jc w:val="center"/>
            </w:pPr>
            <w:proofErr w:type="spellStart"/>
            <w:r>
              <w:t>Darshana</w:t>
            </w:r>
            <w:proofErr w:type="spellEnd"/>
            <w:r>
              <w:t xml:space="preserve"> </w:t>
            </w:r>
            <w:proofErr w:type="spellStart"/>
            <w:r>
              <w:t>Shre</w:t>
            </w:r>
            <w:r w:rsidR="004A3643">
              <w:t>edhar</w:t>
            </w:r>
            <w:proofErr w:type="spellEnd"/>
            <w:r w:rsidR="004A3643">
              <w:t xml:space="preserve"> </w:t>
            </w:r>
            <w:proofErr w:type="gramStart"/>
            <w:r w:rsidR="004A3643">
              <w:t>Mini’s  a</w:t>
            </w:r>
            <w:proofErr w:type="gramEnd"/>
            <w:r w:rsidR="004A3643">
              <w:t>)”</w:t>
            </w:r>
            <w:r w:rsidR="007608DC" w:rsidRPr="008064D7">
              <w:t>Ethnography and Archives of Gulf-Kerala Diasporic Media: Television Show Publicity Poster and Airport Signage</w:t>
            </w:r>
            <w:r w:rsidR="004A3643">
              <w:t>”</w:t>
            </w:r>
          </w:p>
          <w:p w:rsidR="007608DC" w:rsidRDefault="007608DC" w:rsidP="002750C5">
            <w:pPr>
              <w:jc w:val="center"/>
            </w:pPr>
            <w:r>
              <w:t>&amp;</w:t>
            </w:r>
          </w:p>
          <w:p w:rsidR="007608DC" w:rsidRDefault="004A3643" w:rsidP="002750C5">
            <w:pPr>
              <w:jc w:val="center"/>
            </w:pPr>
            <w:r>
              <w:t>b)“</w:t>
            </w:r>
            <w:hyperlink r:id="rId8" w:history="1">
              <w:r w:rsidR="007608DC" w:rsidRPr="00AA17B3">
                <w:rPr>
                  <w:rStyle w:val="Hyperlink"/>
                  <w:color w:val="auto"/>
                  <w:u w:val="none"/>
                  <w:shd w:val="clear" w:color="auto" w:fill="FFFFFF"/>
                </w:rPr>
                <w:t>Transnational Ethical Screens: Empathetic Networks in Malayalam Short Films from the Gulf</w:t>
              </w:r>
            </w:hyperlink>
            <w:r>
              <w:rPr>
                <w:rStyle w:val="Hyperlink"/>
                <w:color w:val="auto"/>
                <w:u w:val="none"/>
                <w:shd w:val="clear" w:color="auto" w:fill="FFFFFF"/>
              </w:rPr>
              <w:t>”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13-15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463BFF">
            <w:r>
              <w:t xml:space="preserve">Contextualize </w:t>
            </w:r>
            <w:r w:rsidR="004A3643">
              <w:t xml:space="preserve">Indian filmmakers in the </w:t>
            </w:r>
            <w:r>
              <w:t>diaspora cinema.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2764FB" w:rsidRDefault="00E15FCC" w:rsidP="002750C5">
            <w:pPr>
              <w:jc w:val="center"/>
            </w:pPr>
            <w:r>
              <w:t>Indian filmmakers</w:t>
            </w:r>
            <w:r w:rsidR="007608DC">
              <w:t xml:space="preserve"> and Asian Diaspora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750C5">
            <w:pPr>
              <w:jc w:val="center"/>
            </w:pPr>
            <w:r>
              <w:t xml:space="preserve">Lecture Notes and </w:t>
            </w:r>
          </w:p>
          <w:p w:rsidR="007608DC" w:rsidRDefault="007608DC" w:rsidP="00AA17B3">
            <w:pPr>
              <w:jc w:val="center"/>
            </w:pPr>
            <w:r>
              <w:t xml:space="preserve">R 1. Chapter 3 : “When Indians Play Cowboys: Diaspora and </w:t>
            </w:r>
            <w:proofErr w:type="spellStart"/>
            <w:r>
              <w:t>Postcoloniality</w:t>
            </w:r>
            <w:proofErr w:type="spellEnd"/>
            <w:r>
              <w:t xml:space="preserve"> in Mira Nair’s Mississippi Masala”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16-18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132FE6" w:rsidP="00463BFF">
            <w:r>
              <w:t xml:space="preserve">Discuss Japanese film history with a focus on </w:t>
            </w:r>
            <w:r>
              <w:lastRenderedPageBreak/>
              <w:t>its key genres and film</w:t>
            </w:r>
            <w:r w:rsidR="002F0542">
              <w:t xml:space="preserve"> auteurs</w:t>
            </w:r>
          </w:p>
          <w:p w:rsidR="007608DC" w:rsidRDefault="007608DC">
            <w:pPr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BB41AE">
            <w:pPr>
              <w:jc w:val="center"/>
            </w:pPr>
            <w:r>
              <w:lastRenderedPageBreak/>
              <w:t>Cinema from Japan: Genres, Movements and Auteurs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915B4">
            <w:pPr>
              <w:jc w:val="center"/>
            </w:pPr>
            <w:r>
              <w:t>Text Book</w:t>
            </w:r>
          </w:p>
          <w:p w:rsidR="007915B4" w:rsidRDefault="007915B4">
            <w:pPr>
              <w:jc w:val="center"/>
            </w:pPr>
            <w:r>
              <w:t>Part III</w:t>
            </w:r>
          </w:p>
          <w:p w:rsidR="007915B4" w:rsidRDefault="007915B4">
            <w:pPr>
              <w:jc w:val="center"/>
            </w:pPr>
            <w:r>
              <w:lastRenderedPageBreak/>
              <w:t>Chapter 7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lastRenderedPageBreak/>
              <w:t>19-21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0D2783" w:rsidP="00463BFF">
            <w:r>
              <w:t>Examine</w:t>
            </w:r>
            <w:r w:rsidR="007608DC" w:rsidRPr="008C1763">
              <w:t xml:space="preserve"> </w:t>
            </w:r>
            <w:r w:rsidR="00E15FCC">
              <w:t>film cultures of Ira</w:t>
            </w:r>
            <w:r w:rsidR="002F0542">
              <w:t>n</w:t>
            </w:r>
            <w:r w:rsidR="00E15FCC">
              <w:t>, Israel and Palestine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FC2AD9">
            <w:pPr>
              <w:jc w:val="center"/>
            </w:pPr>
            <w:r>
              <w:t>Iranian Cinema After the Revolution</w:t>
            </w:r>
            <w:r w:rsidR="00F549D0">
              <w:t xml:space="preserve"> and </w:t>
            </w:r>
            <w:r w:rsidR="006D5C12">
              <w:t>Cinemas on Israel- Palestine Conflict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F549D0">
            <w:pPr>
              <w:jc w:val="center"/>
            </w:pPr>
            <w:r>
              <w:t xml:space="preserve">Selections from Hamid </w:t>
            </w:r>
            <w:proofErr w:type="spellStart"/>
            <w:r>
              <w:t>Dabashis’s</w:t>
            </w:r>
            <w:proofErr w:type="spellEnd"/>
          </w:p>
          <w:p w:rsidR="00F549D0" w:rsidRPr="004A3643" w:rsidRDefault="00F549D0">
            <w:pPr>
              <w:jc w:val="center"/>
              <w:rPr>
                <w:i/>
              </w:rPr>
            </w:pPr>
            <w:r w:rsidRPr="004A3643">
              <w:rPr>
                <w:i/>
              </w:rPr>
              <w:t>Close Up: Iranian Cinema Past, Present and Future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22-24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463BFF">
            <w:r>
              <w:t xml:space="preserve">Comprehend the idea of </w:t>
            </w:r>
            <w:r w:rsidR="00E15FCC">
              <w:t xml:space="preserve">Chinese ‘national’ cinema and </w:t>
            </w:r>
            <w:r w:rsidR="002F0542">
              <w:t xml:space="preserve">its </w:t>
            </w:r>
            <w:r w:rsidR="00E15FCC">
              <w:t>various departures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4A3643">
            <w:pPr>
              <w:jc w:val="center"/>
            </w:pPr>
            <w:r w:rsidRPr="00706879">
              <w:t xml:space="preserve">Chinese Cinema </w:t>
            </w:r>
            <w:r>
              <w:t>before and</w:t>
            </w:r>
            <w:r w:rsidR="004A3643">
              <w:t xml:space="preserve"> after the Cultural Revolution (focus on t</w:t>
            </w:r>
            <w:r>
              <w:t>he Fi</w:t>
            </w:r>
            <w:r w:rsidR="004A3643">
              <w:t>fth Generation Chinese Cinema)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132FE6">
            <w:pPr>
              <w:jc w:val="center"/>
            </w:pPr>
            <w:r>
              <w:t>Selections from</w:t>
            </w:r>
            <w:r w:rsidR="00317298">
              <w:t xml:space="preserve"> </w:t>
            </w:r>
            <w:proofErr w:type="spellStart"/>
            <w:r w:rsidR="00317298">
              <w:t>Yingjin</w:t>
            </w:r>
            <w:proofErr w:type="spellEnd"/>
            <w:r w:rsidR="00317298">
              <w:t xml:space="preserve"> Zhang’s ed.</w:t>
            </w:r>
          </w:p>
          <w:p w:rsidR="00317298" w:rsidRPr="00317298" w:rsidRDefault="00317298">
            <w:pPr>
              <w:jc w:val="center"/>
              <w:rPr>
                <w:i/>
              </w:rPr>
            </w:pPr>
            <w:r w:rsidRPr="00317298">
              <w:rPr>
                <w:i/>
              </w:rPr>
              <w:t>A Companion to Chinese Cinema</w:t>
            </w:r>
          </w:p>
          <w:p w:rsidR="00317298" w:rsidRDefault="00317298">
            <w:pPr>
              <w:jc w:val="center"/>
            </w:pP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25-27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2F0542" w:rsidP="00463BFF">
            <w:r>
              <w:t xml:space="preserve">Discuss the significance of </w:t>
            </w:r>
            <w:r w:rsidR="00E15FCC">
              <w:t xml:space="preserve">cinematic spaces in </w:t>
            </w:r>
            <w:r>
              <w:t xml:space="preserve">new </w:t>
            </w:r>
            <w:r w:rsidR="00E15FCC">
              <w:t xml:space="preserve">Asian films and their aesthetic constructs  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706879" w:rsidRDefault="007608DC" w:rsidP="0074074C">
            <w:pPr>
              <w:jc w:val="center"/>
            </w:pPr>
            <w:r w:rsidRPr="007608DC">
              <w:t>New Asian Metros (</w:t>
            </w:r>
            <w:r w:rsidR="0074074C">
              <w:t xml:space="preserve">With a focus on film culture from </w:t>
            </w:r>
            <w:r w:rsidRPr="007608DC">
              <w:t>Hong Kong</w:t>
            </w:r>
            <w:r w:rsidR="0074074C">
              <w:t xml:space="preserve"> </w:t>
            </w:r>
            <w:r w:rsidRPr="007608DC">
              <w:t>), conflict zones of culture, Shared histories, Asian partition(s)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7298" w:rsidRDefault="004A3643" w:rsidP="00317298">
            <w:pPr>
              <w:jc w:val="center"/>
            </w:pPr>
            <w:r>
              <w:t>Selections from text b</w:t>
            </w:r>
            <w:r w:rsidR="00317298">
              <w:t>ook and R3</w:t>
            </w:r>
          </w:p>
          <w:p w:rsidR="00317298" w:rsidRDefault="00317298" w:rsidP="00317298">
            <w:pPr>
              <w:jc w:val="center"/>
            </w:pPr>
            <w:r>
              <w:t>&amp;</w:t>
            </w:r>
          </w:p>
          <w:p w:rsidR="0074074C" w:rsidRDefault="00317298">
            <w:pPr>
              <w:jc w:val="center"/>
            </w:pPr>
            <w:r>
              <w:t>clippings from</w:t>
            </w:r>
            <w:r w:rsidR="0074074C">
              <w:t xml:space="preserve"> </w:t>
            </w:r>
            <w:r w:rsidR="0074074C" w:rsidRPr="004A3643">
              <w:rPr>
                <w:i/>
              </w:rPr>
              <w:t>In The Mood For Love</w:t>
            </w:r>
            <w:r w:rsidRPr="004A3643">
              <w:rPr>
                <w:i/>
              </w:rPr>
              <w:t xml:space="preserve"> </w:t>
            </w:r>
            <w:r>
              <w:t xml:space="preserve">(Wong </w:t>
            </w:r>
            <w:proofErr w:type="spellStart"/>
            <w:r>
              <w:t>Kar-Wai</w:t>
            </w:r>
            <w:proofErr w:type="spellEnd"/>
            <w:r>
              <w:t>, 2000)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28-29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463BFF">
            <w:r>
              <w:t xml:space="preserve">Comprehend the </w:t>
            </w:r>
            <w:r w:rsidR="006D5C12">
              <w:t xml:space="preserve">idea of new Asian cinema and </w:t>
            </w:r>
            <w:r>
              <w:t>similarities and difference between</w:t>
            </w:r>
            <w:r w:rsidR="006D5C12">
              <w:t xml:space="preserve"> film cultures from different countries of Asia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750C5">
            <w:pPr>
              <w:jc w:val="center"/>
            </w:pPr>
            <w:r w:rsidRPr="00634D87">
              <w:t xml:space="preserve">New Asian Cinemas: Auteurs, Film Festivals and </w:t>
            </w:r>
            <w:proofErr w:type="spellStart"/>
            <w:r w:rsidRPr="00634D87">
              <w:t>Cinephilia</w:t>
            </w:r>
            <w:proofErr w:type="spellEnd"/>
            <w:r>
              <w:t xml:space="preserve"> (Taiwan, South Korea, </w:t>
            </w:r>
            <w:proofErr w:type="spellStart"/>
            <w:r>
              <w:t>Philipines</w:t>
            </w:r>
            <w:proofErr w:type="spellEnd"/>
            <w:r>
              <w:t>, Thai, PRC)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132FE6" w:rsidP="00212BD6">
            <w:pPr>
              <w:jc w:val="center"/>
            </w:pPr>
            <w:r>
              <w:t xml:space="preserve">Selections from </w:t>
            </w:r>
            <w:r w:rsidR="004A3643">
              <w:t>text b</w:t>
            </w:r>
            <w:r w:rsidR="0074074C">
              <w:t>ook</w:t>
            </w:r>
            <w:r>
              <w:t xml:space="preserve"> and</w:t>
            </w:r>
          </w:p>
          <w:p w:rsidR="00132FE6" w:rsidRDefault="00132FE6" w:rsidP="00212BD6">
            <w:pPr>
              <w:jc w:val="center"/>
            </w:pPr>
            <w:r>
              <w:t>R 3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30-32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6D5C12" w:rsidP="00463BFF">
            <w:r>
              <w:t>Describe the emergence of six generation Chinese film makers and the key characteristics of their films</w:t>
            </w:r>
            <w:r w:rsidR="007608DC"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B96D8B" w:rsidRDefault="007608DC">
            <w:pPr>
              <w:jc w:val="center"/>
            </w:pPr>
            <w:r>
              <w:t>Case Study I: the Emergence of Sixth Generation Chinese</w:t>
            </w:r>
            <w:r w:rsidRPr="00634D87">
              <w:t xml:space="preserve"> Cinema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7298" w:rsidRDefault="00317298" w:rsidP="00317298">
            <w:pPr>
              <w:jc w:val="center"/>
            </w:pPr>
            <w:r>
              <w:t xml:space="preserve">Selections from </w:t>
            </w:r>
            <w:proofErr w:type="spellStart"/>
            <w:r>
              <w:t>Yingjin</w:t>
            </w:r>
            <w:proofErr w:type="spellEnd"/>
            <w:r>
              <w:t xml:space="preserve"> Zhang’s ed.</w:t>
            </w:r>
          </w:p>
          <w:p w:rsidR="00317298" w:rsidRPr="00317298" w:rsidRDefault="00317298" w:rsidP="00317298">
            <w:pPr>
              <w:jc w:val="center"/>
              <w:rPr>
                <w:i/>
              </w:rPr>
            </w:pPr>
            <w:r w:rsidRPr="00317298">
              <w:rPr>
                <w:i/>
              </w:rPr>
              <w:t>A Companion to Chinese Cinema</w:t>
            </w:r>
          </w:p>
          <w:p w:rsidR="00317298" w:rsidRDefault="00317298" w:rsidP="00317298">
            <w:pPr>
              <w:jc w:val="center"/>
            </w:pPr>
          </w:p>
          <w:p w:rsidR="007608DC" w:rsidRDefault="007608DC" w:rsidP="00A57026">
            <w:pPr>
              <w:jc w:val="center"/>
            </w:pP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33-34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463BFF">
            <w:r>
              <w:t xml:space="preserve">Discuss </w:t>
            </w:r>
            <w:r w:rsidR="006D5C12">
              <w:t>the historical evolution of New Taiwanese cinema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B96D8B" w:rsidRDefault="007608DC" w:rsidP="002750C5">
            <w:pPr>
              <w:jc w:val="center"/>
            </w:pPr>
            <w:r w:rsidRPr="00634D87">
              <w:t>Case Study I</w:t>
            </w:r>
            <w:r>
              <w:t>I</w:t>
            </w:r>
            <w:r w:rsidRPr="00634D87">
              <w:t>: New Taiwanese Cinema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40179">
            <w:pPr>
              <w:jc w:val="center"/>
            </w:pPr>
            <w:r w:rsidRPr="007F56A9">
              <w:t>Fredric Jameson’s “Remapping Taipei”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35-36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463BFF">
            <w:r w:rsidRPr="008775E4">
              <w:t>Acquaint oneself with the</w:t>
            </w:r>
            <w:r w:rsidR="006D5C12">
              <w:t xml:space="preserve"> film history of South Korea </w:t>
            </w:r>
            <w:r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 w:rsidRPr="00634D87">
              <w:t>Case Study II</w:t>
            </w:r>
            <w:r>
              <w:t>I</w:t>
            </w:r>
            <w:r w:rsidR="00006422">
              <w:t>: South Korea: ‘National Conjunction’ and Cinematic ‘Diversity’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006422" w:rsidP="00006422">
            <w:r>
              <w:t>R 3</w:t>
            </w:r>
          </w:p>
          <w:p w:rsidR="00006422" w:rsidRDefault="00006422" w:rsidP="00006422">
            <w:r>
              <w:t>Part II</w:t>
            </w:r>
          </w:p>
          <w:p w:rsidR="00006422" w:rsidRDefault="00006422" w:rsidP="00006422">
            <w:r>
              <w:t>Chapter 6</w:t>
            </w:r>
          </w:p>
        </w:tc>
      </w:tr>
      <w:tr w:rsidR="007608DC" w:rsidTr="00DC5E26">
        <w:trPr>
          <w:trHeight w:val="1131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>
            <w:pPr>
              <w:jc w:val="center"/>
            </w:pPr>
            <w:r>
              <w:t>37-39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6D5C12" w:rsidP="00463BFF">
            <w:r>
              <w:t>Familiarize with slow cinema as a film genre and its Asian contexts of production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750C5">
            <w:pPr>
              <w:jc w:val="center"/>
            </w:pPr>
            <w:r w:rsidRPr="00634D87">
              <w:t>Slow Cinema as a Global Film Genre and its Asian Auteurs (focus on Tsai Min Liang)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2030F2">
            <w:pPr>
              <w:jc w:val="center"/>
            </w:pPr>
            <w:r w:rsidRPr="007F56A9">
              <w:t>Tsai</w:t>
            </w:r>
            <w:r>
              <w:t xml:space="preserve"> Min Liang</w:t>
            </w:r>
            <w:r w:rsidRPr="007F56A9">
              <w:t>’s interviews in Senses of Cinema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5A0DA7">
            <w:pPr>
              <w:jc w:val="center"/>
            </w:pPr>
            <w:r>
              <w:t>40-41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E15FCC" w:rsidP="00463BFF">
            <w:r w:rsidRPr="00E15FCC">
              <w:t>Comprehend the idea of</w:t>
            </w:r>
            <w:r>
              <w:t xml:space="preserve"> </w:t>
            </w:r>
            <w:proofErr w:type="spellStart"/>
            <w:r>
              <w:t>Asianization</w:t>
            </w:r>
            <w:proofErr w:type="spellEnd"/>
            <w:r>
              <w:t xml:space="preserve"> and </w:t>
            </w:r>
            <w:r w:rsidR="002F0542">
              <w:t>its</w:t>
            </w:r>
            <w:r>
              <w:t xml:space="preserve"> impact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B96D8B" w:rsidRDefault="007608DC" w:rsidP="00172EC6">
            <w:pPr>
              <w:jc w:val="center"/>
            </w:pPr>
            <w:proofErr w:type="spellStart"/>
            <w:r>
              <w:t>Asianization</w:t>
            </w:r>
            <w:proofErr w:type="spellEnd"/>
            <w:r>
              <w:t xml:space="preserve"> of the West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006422" w:rsidP="005A0DA7">
            <w:pPr>
              <w:jc w:val="center"/>
            </w:pPr>
            <w:r>
              <w:t>R 3</w:t>
            </w:r>
          </w:p>
          <w:p w:rsidR="00006422" w:rsidRDefault="00006422" w:rsidP="005A0DA7">
            <w:pPr>
              <w:jc w:val="center"/>
            </w:pPr>
            <w:r>
              <w:t>Part IV</w:t>
            </w:r>
          </w:p>
          <w:p w:rsidR="00006422" w:rsidRDefault="00006422" w:rsidP="005A0DA7">
            <w:pPr>
              <w:jc w:val="center"/>
            </w:pPr>
            <w:r>
              <w:t>Chapter 14</w:t>
            </w:r>
          </w:p>
        </w:tc>
      </w:tr>
      <w:tr w:rsidR="007608DC" w:rsidTr="00DC5E26">
        <w:trPr>
          <w:trHeight w:val="576"/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5A0DA7">
            <w:pPr>
              <w:jc w:val="center"/>
            </w:pPr>
            <w:r>
              <w:lastRenderedPageBreak/>
              <w:t>42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F64488" w:rsidP="00463BFF">
            <w:r w:rsidRPr="00F64488">
              <w:t>Review and sum-up the course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Pr="00B96D8B" w:rsidRDefault="007608DC" w:rsidP="005A0DA7">
            <w:pPr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08DC" w:rsidRDefault="007608DC" w:rsidP="005A0DA7">
            <w:pPr>
              <w:jc w:val="center"/>
            </w:pPr>
            <w:r>
              <w:t>----</w:t>
            </w:r>
          </w:p>
        </w:tc>
      </w:tr>
    </w:tbl>
    <w:p w:rsidR="00B96D8B" w:rsidRDefault="00B96D8B" w:rsidP="00B96D8B">
      <w:pPr>
        <w:rPr>
          <w:b/>
        </w:rPr>
      </w:pPr>
    </w:p>
    <w:p w:rsidR="00A23C6B" w:rsidRDefault="00C103E8">
      <w:pPr>
        <w:rPr>
          <w:b/>
        </w:rPr>
      </w:pPr>
      <w:r>
        <w:rPr>
          <w:b/>
        </w:rPr>
        <w:t xml:space="preserve"> Evaluation Scheme:</w:t>
      </w:r>
    </w:p>
    <w:p w:rsidR="00A23C6B" w:rsidRDefault="00A23C6B"/>
    <w:tbl>
      <w:tblPr>
        <w:tblStyle w:val="a0"/>
        <w:tblW w:w="927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12"/>
        <w:gridCol w:w="1908"/>
        <w:gridCol w:w="1800"/>
        <w:gridCol w:w="2070"/>
      </w:tblGrid>
      <w:tr w:rsidR="00463BFF" w:rsidTr="00DC5E26">
        <w:tc>
          <w:tcPr>
            <w:tcW w:w="1980" w:type="dxa"/>
            <w:shd w:val="clear" w:color="auto" w:fill="D9D9D9" w:themeFill="background1" w:themeFillShade="D9"/>
          </w:tcPr>
          <w:p w:rsidR="00463BFF" w:rsidRDefault="00463BF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Component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463BFF" w:rsidRDefault="00463BFF" w:rsidP="00463BF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463BFF" w:rsidRDefault="00463BF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Weighting (%)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63BFF" w:rsidRDefault="00463BF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and Time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63BFF" w:rsidRPr="00463BFF" w:rsidRDefault="00463B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BFF"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463BFF" w:rsidTr="00463BFF">
        <w:tc>
          <w:tcPr>
            <w:tcW w:w="1980" w:type="dxa"/>
          </w:tcPr>
          <w:p w:rsidR="00463BFF" w:rsidRDefault="00463BFF" w:rsidP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</w:p>
        </w:tc>
        <w:tc>
          <w:tcPr>
            <w:tcW w:w="1512" w:type="dxa"/>
          </w:tcPr>
          <w:p w:rsidR="00463BFF" w:rsidRDefault="00DC5E26" w:rsidP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TBA</w:t>
            </w:r>
          </w:p>
        </w:tc>
        <w:tc>
          <w:tcPr>
            <w:tcW w:w="1908" w:type="dxa"/>
          </w:tcPr>
          <w:p w:rsidR="00463BFF" w:rsidRDefault="00463BFF" w:rsidP="00463B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800" w:type="dxa"/>
          </w:tcPr>
          <w:p w:rsidR="00463BFF" w:rsidRDefault="00463BFF" w:rsidP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TBA</w:t>
            </w:r>
          </w:p>
        </w:tc>
        <w:tc>
          <w:tcPr>
            <w:tcW w:w="2070" w:type="dxa"/>
          </w:tcPr>
          <w:p w:rsidR="00463BFF" w:rsidRPr="00463BFF" w:rsidRDefault="00463BFF" w:rsidP="00463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BFF">
              <w:rPr>
                <w:rFonts w:ascii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463BFF" w:rsidTr="00463BFF">
        <w:tc>
          <w:tcPr>
            <w:tcW w:w="1980" w:type="dxa"/>
          </w:tcPr>
          <w:p w:rsidR="00463BFF" w:rsidRDefault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Mid semester test </w:t>
            </w:r>
          </w:p>
        </w:tc>
        <w:tc>
          <w:tcPr>
            <w:tcW w:w="1512" w:type="dxa"/>
          </w:tcPr>
          <w:p w:rsidR="00463BFF" w:rsidRDefault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  <w:r w:rsidR="00DC5E26">
              <w:rPr>
                <w:rFonts w:ascii="Times New Roman" w:eastAsia="Times New Roman" w:hAnsi="Times New Roman" w:cs="Times New Roman"/>
              </w:rPr>
              <w:t xml:space="preserve"> minutes</w:t>
            </w:r>
          </w:p>
        </w:tc>
        <w:tc>
          <w:tcPr>
            <w:tcW w:w="1908" w:type="dxa"/>
          </w:tcPr>
          <w:p w:rsidR="00463BFF" w:rsidRDefault="00463B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00" w:type="dxa"/>
          </w:tcPr>
          <w:p w:rsidR="00463BFF" w:rsidRDefault="004A5844" w:rsidP="002750C5">
            <w:pPr>
              <w:rPr>
                <w:rFonts w:ascii="Times New Roman" w:eastAsia="Times New Roman" w:hAnsi="Times New Roman" w:cs="Times New Roman"/>
              </w:rPr>
            </w:pPr>
            <w:r>
              <w:t>03/03 3.30 - 5.00PM</w:t>
            </w:r>
          </w:p>
        </w:tc>
        <w:tc>
          <w:tcPr>
            <w:tcW w:w="2070" w:type="dxa"/>
          </w:tcPr>
          <w:p w:rsidR="00463BFF" w:rsidRPr="00463BFF" w:rsidRDefault="00463BFF" w:rsidP="00275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BFF">
              <w:rPr>
                <w:rFonts w:ascii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463BFF" w:rsidTr="00463BFF">
        <w:tc>
          <w:tcPr>
            <w:tcW w:w="1980" w:type="dxa"/>
          </w:tcPr>
          <w:p w:rsidR="00463BFF" w:rsidRDefault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512" w:type="dxa"/>
          </w:tcPr>
          <w:p w:rsidR="00463BFF" w:rsidRDefault="00463B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</w:t>
            </w:r>
            <w:r w:rsidR="00DC5E26">
              <w:rPr>
                <w:rFonts w:ascii="Times New Roman" w:eastAsia="Times New Roman" w:hAnsi="Times New Roman" w:cs="Times New Roman"/>
              </w:rPr>
              <w:t xml:space="preserve"> minutes</w:t>
            </w:r>
          </w:p>
        </w:tc>
        <w:tc>
          <w:tcPr>
            <w:tcW w:w="1908" w:type="dxa"/>
          </w:tcPr>
          <w:p w:rsidR="00463BFF" w:rsidRDefault="00463B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800" w:type="dxa"/>
          </w:tcPr>
          <w:p w:rsidR="00463BFF" w:rsidRDefault="004A5844" w:rsidP="002750C5">
            <w:pPr>
              <w:rPr>
                <w:rFonts w:ascii="Times New Roman" w:eastAsia="Times New Roman" w:hAnsi="Times New Roman" w:cs="Times New Roman"/>
              </w:rPr>
            </w:pPr>
            <w:r>
              <w:t>08/05 FN</w:t>
            </w:r>
          </w:p>
        </w:tc>
        <w:tc>
          <w:tcPr>
            <w:tcW w:w="2070" w:type="dxa"/>
          </w:tcPr>
          <w:p w:rsidR="00463BFF" w:rsidRPr="00463BFF" w:rsidRDefault="00463BFF" w:rsidP="00275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BFF">
              <w:rPr>
                <w:rFonts w:ascii="Times New Roman" w:hAnsi="Times New Roman" w:cs="Times New Roman"/>
                <w:sz w:val="24"/>
                <w:szCs w:val="24"/>
              </w:rPr>
              <w:t>Open Book</w:t>
            </w:r>
          </w:p>
        </w:tc>
      </w:tr>
    </w:tbl>
    <w:p w:rsidR="00A23C6B" w:rsidRDefault="00A23C6B">
      <w:pPr>
        <w:rPr>
          <w:b/>
        </w:rPr>
      </w:pPr>
    </w:p>
    <w:p w:rsidR="00DA0B80" w:rsidRPr="00463BFF" w:rsidRDefault="00C103E8">
      <w:pPr>
        <w:rPr>
          <w:b/>
        </w:rPr>
      </w:pPr>
      <w:r>
        <w:rPr>
          <w:b/>
        </w:rPr>
        <w:t xml:space="preserve">Chamber Consultation Hours: </w:t>
      </w:r>
      <w:r w:rsidR="00463BFF">
        <w:rPr>
          <w:b/>
        </w:rPr>
        <w:t xml:space="preserve"> </w:t>
      </w:r>
      <w:r w:rsidR="00DA0B80">
        <w:t>The link</w:t>
      </w:r>
      <w:r w:rsidR="00EF7E16">
        <w:t>s</w:t>
      </w:r>
      <w:r w:rsidR="00DA0B80">
        <w:t xml:space="preserve"> for consultation meetings and timings will be shared on CMS.</w:t>
      </w:r>
    </w:p>
    <w:p w:rsidR="00A23C6B" w:rsidRDefault="00A23C6B"/>
    <w:p w:rsidR="00A23C6B" w:rsidRDefault="00C103E8">
      <w:r>
        <w:rPr>
          <w:b/>
        </w:rPr>
        <w:t xml:space="preserve">Notices: </w:t>
      </w:r>
      <w:r w:rsidR="00463BFF">
        <w:t xml:space="preserve"> </w:t>
      </w:r>
      <w:r>
        <w:t xml:space="preserve">Notices concerning the course will be displayed on CMS or other online teaching platform as notified. </w:t>
      </w:r>
    </w:p>
    <w:p w:rsidR="00A23C6B" w:rsidRDefault="00A23C6B"/>
    <w:p w:rsidR="00A23C6B" w:rsidRPr="00463BFF" w:rsidRDefault="00C103E8" w:rsidP="00DC5E26">
      <w:pPr>
        <w:jc w:val="both"/>
        <w:rPr>
          <w:b/>
        </w:rPr>
      </w:pPr>
      <w:r>
        <w:rPr>
          <w:b/>
        </w:rPr>
        <w:t>Make-up Policy</w:t>
      </w:r>
      <w:r w:rsidR="00463BFF">
        <w:rPr>
          <w:b/>
        </w:rPr>
        <w:t xml:space="preserve">: </w:t>
      </w:r>
      <w:r>
        <w:t xml:space="preserve">Make-up exams and make-up assignments will be granted due to medical reasons if students have prior clearance from institute authorities and if students have informed the instructor beforehand. If a student has an extraordinary situation that does not allow him/her to appear/ for the examination/submit an assignment, the student is responsible for intimating the matter to the instructor at the earliest. </w:t>
      </w:r>
    </w:p>
    <w:p w:rsidR="00A23C6B" w:rsidRDefault="00A23C6B"/>
    <w:p w:rsidR="00A23C6B" w:rsidRDefault="00C103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</w:rPr>
      </w:pPr>
      <w:r>
        <w:rPr>
          <w:b/>
          <w:color w:val="000000"/>
        </w:rPr>
        <w:t>Academic Honesty and Integrity Policy</w:t>
      </w:r>
      <w:r>
        <w:rPr>
          <w:color w:val="000000"/>
        </w:rPr>
        <w:t>: Academic honesty and integrity are to be maintained by all the students throughout the semester and no type of academic dishonesty is acceptable.</w:t>
      </w:r>
    </w:p>
    <w:p w:rsidR="00A23C6B" w:rsidRDefault="00A23C6B">
      <w:pPr>
        <w:spacing w:after="120"/>
        <w:jc w:val="both"/>
      </w:pPr>
    </w:p>
    <w:p w:rsidR="00A23C6B" w:rsidRDefault="00A23C6B"/>
    <w:p w:rsidR="00A23C6B" w:rsidRDefault="00C103E8">
      <w:pPr>
        <w:jc w:val="right"/>
      </w:pPr>
      <w:proofErr w:type="spellStart"/>
      <w:r>
        <w:t>S</w:t>
      </w:r>
      <w:r w:rsidR="002750C5">
        <w:t>pandan</w:t>
      </w:r>
      <w:proofErr w:type="spellEnd"/>
      <w:r w:rsidR="002750C5">
        <w:t xml:space="preserve"> Bhattacharya</w:t>
      </w:r>
    </w:p>
    <w:p w:rsidR="00A23C6B" w:rsidRDefault="00C103E8">
      <w:pPr>
        <w:jc w:val="right"/>
        <w:rPr>
          <w:b/>
        </w:rPr>
      </w:pPr>
      <w:r>
        <w:rPr>
          <w:b/>
        </w:rPr>
        <w:t>INSTRUCTOR-IN-CHARGE</w:t>
      </w:r>
    </w:p>
    <w:sectPr w:rsidR="00A23C6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6E" w:rsidRDefault="0002476E">
      <w:r>
        <w:separator/>
      </w:r>
    </w:p>
  </w:endnote>
  <w:endnote w:type="continuationSeparator" w:id="0">
    <w:p w:rsidR="0002476E" w:rsidRDefault="0002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6B" w:rsidRDefault="00C103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6E" w:rsidRDefault="0002476E">
      <w:r>
        <w:separator/>
      </w:r>
    </w:p>
  </w:footnote>
  <w:footnote w:type="continuationSeparator" w:id="0">
    <w:p w:rsidR="0002476E" w:rsidRDefault="00024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6B" w:rsidRDefault="00A23C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22A6"/>
    <w:multiLevelType w:val="hybridMultilevel"/>
    <w:tmpl w:val="69F0B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B3D"/>
    <w:multiLevelType w:val="multilevel"/>
    <w:tmpl w:val="1ECE2C98"/>
    <w:lvl w:ilvl="0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631C59"/>
    <w:multiLevelType w:val="hybridMultilevel"/>
    <w:tmpl w:val="F9C20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6B"/>
    <w:rsid w:val="00006422"/>
    <w:rsid w:val="0002476E"/>
    <w:rsid w:val="0003716A"/>
    <w:rsid w:val="00051318"/>
    <w:rsid w:val="000A11DB"/>
    <w:rsid w:val="000A3407"/>
    <w:rsid w:val="000B664C"/>
    <w:rsid w:val="000C6B5C"/>
    <w:rsid w:val="000D0AD5"/>
    <w:rsid w:val="000D2783"/>
    <w:rsid w:val="00106C93"/>
    <w:rsid w:val="001270FB"/>
    <w:rsid w:val="00132FE6"/>
    <w:rsid w:val="00172EC6"/>
    <w:rsid w:val="00192A57"/>
    <w:rsid w:val="001E2DC5"/>
    <w:rsid w:val="001F020F"/>
    <w:rsid w:val="002030F2"/>
    <w:rsid w:val="00212BD6"/>
    <w:rsid w:val="00240179"/>
    <w:rsid w:val="002750C5"/>
    <w:rsid w:val="002764FB"/>
    <w:rsid w:val="00296012"/>
    <w:rsid w:val="002C615C"/>
    <w:rsid w:val="002F0542"/>
    <w:rsid w:val="00317298"/>
    <w:rsid w:val="00342284"/>
    <w:rsid w:val="00395936"/>
    <w:rsid w:val="003B0CC6"/>
    <w:rsid w:val="003B4995"/>
    <w:rsid w:val="003B4BB9"/>
    <w:rsid w:val="003D0632"/>
    <w:rsid w:val="003F00F2"/>
    <w:rsid w:val="003F24AB"/>
    <w:rsid w:val="004258E4"/>
    <w:rsid w:val="00444E5C"/>
    <w:rsid w:val="00452BEA"/>
    <w:rsid w:val="00463BFF"/>
    <w:rsid w:val="004A3643"/>
    <w:rsid w:val="004A5844"/>
    <w:rsid w:val="00634D87"/>
    <w:rsid w:val="006D4ED8"/>
    <w:rsid w:val="006D5C12"/>
    <w:rsid w:val="00706879"/>
    <w:rsid w:val="0074074C"/>
    <w:rsid w:val="0075664E"/>
    <w:rsid w:val="007608DC"/>
    <w:rsid w:val="00782B65"/>
    <w:rsid w:val="007915B4"/>
    <w:rsid w:val="007B0D42"/>
    <w:rsid w:val="007B2BC8"/>
    <w:rsid w:val="007B379C"/>
    <w:rsid w:val="007F56A9"/>
    <w:rsid w:val="008064D7"/>
    <w:rsid w:val="0081441B"/>
    <w:rsid w:val="008632C3"/>
    <w:rsid w:val="0086611B"/>
    <w:rsid w:val="008775E4"/>
    <w:rsid w:val="0089646E"/>
    <w:rsid w:val="008C1763"/>
    <w:rsid w:val="008D07C5"/>
    <w:rsid w:val="00937F2D"/>
    <w:rsid w:val="00942F65"/>
    <w:rsid w:val="00963B9F"/>
    <w:rsid w:val="00980114"/>
    <w:rsid w:val="009C7447"/>
    <w:rsid w:val="00A17340"/>
    <w:rsid w:val="00A23C6B"/>
    <w:rsid w:val="00A4220E"/>
    <w:rsid w:val="00A57026"/>
    <w:rsid w:val="00A84B63"/>
    <w:rsid w:val="00AA17B3"/>
    <w:rsid w:val="00AE54BC"/>
    <w:rsid w:val="00B33B20"/>
    <w:rsid w:val="00B5139E"/>
    <w:rsid w:val="00B53200"/>
    <w:rsid w:val="00B81338"/>
    <w:rsid w:val="00B96D8B"/>
    <w:rsid w:val="00BB41AE"/>
    <w:rsid w:val="00C01321"/>
    <w:rsid w:val="00C103E8"/>
    <w:rsid w:val="00C11BF9"/>
    <w:rsid w:val="00CA175F"/>
    <w:rsid w:val="00D27F61"/>
    <w:rsid w:val="00D31281"/>
    <w:rsid w:val="00D636EB"/>
    <w:rsid w:val="00D72132"/>
    <w:rsid w:val="00D7512D"/>
    <w:rsid w:val="00DA0B80"/>
    <w:rsid w:val="00DA5057"/>
    <w:rsid w:val="00DC5E26"/>
    <w:rsid w:val="00DC7E73"/>
    <w:rsid w:val="00DE609F"/>
    <w:rsid w:val="00E15FCC"/>
    <w:rsid w:val="00E71427"/>
    <w:rsid w:val="00EF7E16"/>
    <w:rsid w:val="00F4464E"/>
    <w:rsid w:val="00F549D0"/>
    <w:rsid w:val="00F64488"/>
    <w:rsid w:val="00F82BED"/>
    <w:rsid w:val="00FA3605"/>
    <w:rsid w:val="00FC2AD9"/>
    <w:rsid w:val="00FD4339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9C14"/>
  <w15:docId w15:val="{FA73F460-7043-43AB-8C65-0EAF11D5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C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B41AE"/>
    <w:pPr>
      <w:widowControl w:val="0"/>
      <w:autoSpaceDE w:val="0"/>
      <w:autoSpaceDN w:val="0"/>
      <w:ind w:left="4"/>
    </w:pPr>
    <w:rPr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B96D8B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A57026"/>
    <w:pPr>
      <w:widowControl w:val="0"/>
      <w:autoSpaceDE w:val="0"/>
      <w:autoSpaceDN w:val="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57026"/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A570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39E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46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44779850/Transnational_Ethical_Screens_Empathetic_Networks_in_Malayalam_Short_Films_from_the_Gul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145</cp:revision>
  <dcterms:created xsi:type="dcterms:W3CDTF">2020-12-17T06:18:00Z</dcterms:created>
  <dcterms:modified xsi:type="dcterms:W3CDTF">2021-01-15T11:48:00Z</dcterms:modified>
</cp:coreProperties>
</file>