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18E" w:rsidRDefault="00EF0BC8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4923790" cy="1019175"/>
            <wp:effectExtent l="0" t="0" r="0" b="0"/>
            <wp:docPr id="1" name="Picture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18E" w:rsidRDefault="00EF0BC8">
      <w:pPr>
        <w:jc w:val="center"/>
        <w:rPr>
          <w:b/>
          <w:bCs/>
        </w:rPr>
      </w:pPr>
      <w:r>
        <w:rPr>
          <w:b/>
          <w:bCs/>
        </w:rPr>
        <w:t>SECOND SEMESTER 2020-21</w:t>
      </w:r>
    </w:p>
    <w:p w:rsidR="0095218E" w:rsidRDefault="00EF0BC8">
      <w:pPr>
        <w:pStyle w:val="Heading1"/>
        <w:jc w:val="center"/>
      </w:pPr>
      <w:r>
        <w:t>Course Handout Part II</w:t>
      </w:r>
    </w:p>
    <w:p w:rsidR="0095218E" w:rsidRDefault="001A37F9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Date:16</w:t>
      </w:r>
      <w:r w:rsidR="00EF0BC8">
        <w:t>.01.2021</w:t>
      </w:r>
      <w:r w:rsidR="00EF0BC8">
        <w:tab/>
      </w:r>
    </w:p>
    <w:p w:rsidR="0095218E" w:rsidRDefault="00EF0BC8">
      <w:pPr>
        <w:pStyle w:val="TextBody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:rsidR="0095218E" w:rsidRDefault="0095218E"/>
    <w:p w:rsidR="0095218E" w:rsidRDefault="00EF0BC8">
      <w:pPr>
        <w:rPr>
          <w:b/>
          <w:iCs/>
          <w:spacing w:val="-2"/>
          <w:sz w:val="22"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>
        <w:rPr>
          <w:b/>
          <w:iCs/>
          <w:spacing w:val="-2"/>
          <w:sz w:val="22"/>
        </w:rPr>
        <w:t>MATH F314</w:t>
      </w:r>
    </w:p>
    <w:p w:rsidR="0095218E" w:rsidRDefault="00EF0BC8">
      <w:pPr>
        <w:pStyle w:val="Heading2"/>
        <w:rPr>
          <w:b/>
          <w:i w:val="0"/>
          <w:sz w:val="22"/>
        </w:rPr>
      </w:pPr>
      <w:r>
        <w:t>Course Title</w:t>
      </w:r>
      <w:r>
        <w:rPr>
          <w:i w:val="0"/>
          <w:iCs w:val="0"/>
        </w:rPr>
        <w:tab/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 </w:t>
      </w:r>
      <w:r>
        <w:rPr>
          <w:b/>
          <w:i w:val="0"/>
          <w:sz w:val="22"/>
        </w:rPr>
        <w:t>Algebra II</w:t>
      </w:r>
    </w:p>
    <w:p w:rsidR="0095218E" w:rsidRDefault="00EF0BC8">
      <w:pPr>
        <w:pStyle w:val="Heading2"/>
        <w:rPr>
          <w:b/>
          <w:bCs/>
          <w:i w:val="0"/>
          <w:iCs w:val="0"/>
          <w:spacing w:val="-2"/>
          <w:sz w:val="22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proofErr w:type="spellStart"/>
      <w:r>
        <w:rPr>
          <w:b/>
          <w:bCs/>
          <w:i w:val="0"/>
          <w:iCs w:val="0"/>
          <w:spacing w:val="-2"/>
          <w:sz w:val="22"/>
        </w:rPr>
        <w:t>Pratyusha</w:t>
      </w:r>
      <w:proofErr w:type="spellEnd"/>
      <w:r>
        <w:rPr>
          <w:b/>
          <w:bCs/>
          <w:i w:val="0"/>
          <w:iCs w:val="0"/>
          <w:spacing w:val="-2"/>
          <w:sz w:val="22"/>
        </w:rPr>
        <w:t xml:space="preserve"> Chattopadhyay</w:t>
      </w:r>
    </w:p>
    <w:p w:rsidR="0095218E" w:rsidRDefault="00EF0BC8">
      <w:pPr>
        <w:rPr>
          <w:b/>
        </w:rPr>
      </w:pPr>
      <w:r>
        <w:rPr>
          <w:bCs/>
        </w:rPr>
        <w:t>Instructor</w:t>
      </w:r>
      <w:r>
        <w:rPr>
          <w:b/>
        </w:rPr>
        <w:t xml:space="preserve">                               </w:t>
      </w:r>
      <w:proofErr w:type="gramStart"/>
      <w:r>
        <w:rPr>
          <w:b/>
        </w:rPr>
        <w:t xml:space="preserve">  </w:t>
      </w:r>
      <w:r>
        <w:rPr>
          <w:bCs/>
        </w:rPr>
        <w:t>: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Pratyusha</w:t>
      </w:r>
      <w:proofErr w:type="spellEnd"/>
      <w:r>
        <w:rPr>
          <w:b/>
        </w:rPr>
        <w:t xml:space="preserve"> Chattopadhyay</w:t>
      </w:r>
    </w:p>
    <w:p w:rsidR="0095218E" w:rsidRDefault="0095218E"/>
    <w:p w:rsidR="0095218E" w:rsidRDefault="00EF0BC8">
      <w:r>
        <w:rPr>
          <w:b/>
          <w:bCs/>
        </w:rPr>
        <w:t xml:space="preserve">Scope and Objective of the Course: </w:t>
      </w:r>
      <w:r>
        <w:t xml:space="preserve">Basic Field Theory, Vector Spaces, and Linear Algebra are the fundamental </w:t>
      </w:r>
      <w:r>
        <w:t>building blocks of abstract algebra. Knowledge of this course will help a student to pursue courses on advanced algebra.</w:t>
      </w:r>
    </w:p>
    <w:p w:rsidR="0095218E" w:rsidRDefault="0095218E">
      <w:pPr>
        <w:rPr>
          <w:b/>
          <w:bCs/>
        </w:rPr>
      </w:pPr>
    </w:p>
    <w:p w:rsidR="0095218E" w:rsidRDefault="00EF0BC8">
      <w:pPr>
        <w:jc w:val="both"/>
      </w:pPr>
      <w:r>
        <w:t>The objective of this course is to introduce basics of modules, field extensions, vector spaces, and linear transformations. In this c</w:t>
      </w:r>
      <w:r>
        <w:t>ourse one will learn about definitions of modules, basic facts about modules, vector spaces &amp; dual vector spaces, definitions and examples of fields, field extension, degree of extension, algebraic element, splitting field, normal extensions, Galois extens</w:t>
      </w:r>
      <w:r>
        <w:t>ion &amp; Galois group, linear transformations, characteristic roots &amp; characteristic polynomials, and certain canonical forms of transformations.</w:t>
      </w:r>
    </w:p>
    <w:p w:rsidR="0095218E" w:rsidRDefault="0095218E">
      <w:pPr>
        <w:pStyle w:val="TextBody"/>
      </w:pPr>
    </w:p>
    <w:p w:rsidR="0095218E" w:rsidRDefault="00EF0BC8">
      <w:pPr>
        <w:jc w:val="both"/>
      </w:pPr>
      <w:r>
        <w:rPr>
          <w:b/>
        </w:rPr>
        <w:t>Text Book:</w:t>
      </w:r>
      <w:r>
        <w:t xml:space="preserve"> </w:t>
      </w:r>
    </w:p>
    <w:p w:rsidR="0095218E" w:rsidRDefault="00EF0BC8">
      <w:pPr>
        <w:jc w:val="both"/>
      </w:pPr>
      <w:r>
        <w:t xml:space="preserve">1.  I. N. </w:t>
      </w:r>
      <w:proofErr w:type="spellStart"/>
      <w:r>
        <w:t>Herstein</w:t>
      </w:r>
      <w:proofErr w:type="spellEnd"/>
      <w:r>
        <w:t>, Topics in Algebra, 2</w:t>
      </w:r>
      <w:r>
        <w:rPr>
          <w:vertAlign w:val="superscript"/>
        </w:rPr>
        <w:t>nd</w:t>
      </w:r>
      <w:r>
        <w:t xml:space="preserve"> Edition, John Wiley. </w:t>
      </w:r>
    </w:p>
    <w:p w:rsidR="0095218E" w:rsidRDefault="0095218E">
      <w:pPr>
        <w:jc w:val="both"/>
      </w:pPr>
    </w:p>
    <w:p w:rsidR="0095218E" w:rsidRDefault="00EF0BC8">
      <w:pPr>
        <w:jc w:val="both"/>
        <w:rPr>
          <w:b/>
        </w:rPr>
      </w:pPr>
      <w:r>
        <w:rPr>
          <w:b/>
        </w:rPr>
        <w:t>Reference Books:</w:t>
      </w:r>
    </w:p>
    <w:p w:rsidR="0095218E" w:rsidRDefault="00EF0BC8">
      <w:pPr>
        <w:pStyle w:val="ListParagraph"/>
        <w:numPr>
          <w:ilvl w:val="0"/>
          <w:numId w:val="1"/>
        </w:numPr>
        <w:jc w:val="both"/>
      </w:pPr>
      <w:proofErr w:type="spellStart"/>
      <w:r>
        <w:t>Dummit</w:t>
      </w:r>
      <w:proofErr w:type="spellEnd"/>
      <w:r>
        <w:t xml:space="preserve"> &amp; Foote, A</w:t>
      </w:r>
      <w:r>
        <w:t>bstract Algebra, 3</w:t>
      </w:r>
      <w:r>
        <w:rPr>
          <w:vertAlign w:val="superscript"/>
        </w:rPr>
        <w:t>rd</w:t>
      </w:r>
      <w:r>
        <w:t xml:space="preserve"> Edition, Wiley.</w:t>
      </w:r>
    </w:p>
    <w:p w:rsidR="0095218E" w:rsidRDefault="00EF0BC8">
      <w:pPr>
        <w:numPr>
          <w:ilvl w:val="0"/>
          <w:numId w:val="1"/>
        </w:numPr>
        <w:jc w:val="both"/>
      </w:pPr>
      <w:r>
        <w:t xml:space="preserve">I.B.S. </w:t>
      </w:r>
      <w:proofErr w:type="spellStart"/>
      <w:r>
        <w:t>Passi</w:t>
      </w:r>
      <w:proofErr w:type="spellEnd"/>
      <w:r>
        <w:t>, Field Theory, Alpha Science International Limited.</w:t>
      </w:r>
    </w:p>
    <w:p w:rsidR="0095218E" w:rsidRDefault="00EF0BC8">
      <w:pPr>
        <w:numPr>
          <w:ilvl w:val="0"/>
          <w:numId w:val="1"/>
        </w:numPr>
        <w:jc w:val="both"/>
      </w:pPr>
      <w:r>
        <w:t>P.M. Cohn, Basic Algebra, Springer, 1st Edition.</w:t>
      </w:r>
    </w:p>
    <w:p w:rsidR="0095218E" w:rsidRDefault="00EF0BC8">
      <w:pPr>
        <w:numPr>
          <w:ilvl w:val="0"/>
          <w:numId w:val="1"/>
        </w:numPr>
        <w:jc w:val="both"/>
      </w:pPr>
      <w:proofErr w:type="spellStart"/>
      <w:r>
        <w:t>K.</w:t>
      </w:r>
      <w:proofErr w:type="gramStart"/>
      <w:r>
        <w:t>M.Hoffman</w:t>
      </w:r>
      <w:proofErr w:type="spellEnd"/>
      <w:proofErr w:type="gramEnd"/>
      <w:r>
        <w:t xml:space="preserve"> &amp; R. </w:t>
      </w:r>
      <w:proofErr w:type="spellStart"/>
      <w:r>
        <w:t>Kunze</w:t>
      </w:r>
      <w:proofErr w:type="spellEnd"/>
      <w:r>
        <w:t>, Linear Algebra, Pearson, 2</w:t>
      </w:r>
      <w:r>
        <w:rPr>
          <w:vertAlign w:val="superscript"/>
        </w:rPr>
        <w:t>nd</w:t>
      </w:r>
      <w:r>
        <w:t xml:space="preserve"> Edition.</w:t>
      </w:r>
    </w:p>
    <w:p w:rsidR="0095218E" w:rsidRDefault="0095218E">
      <w:pPr>
        <w:jc w:val="both"/>
        <w:rPr>
          <w:b/>
          <w:bCs/>
        </w:rPr>
      </w:pPr>
    </w:p>
    <w:p w:rsidR="0095218E" w:rsidRDefault="00EF0BC8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0" w:type="auto"/>
        <w:jc w:val="center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084"/>
        <w:gridCol w:w="2340"/>
        <w:gridCol w:w="4323"/>
        <w:gridCol w:w="1698"/>
      </w:tblGrid>
      <w:tr w:rsidR="0095218E">
        <w:trPr>
          <w:jc w:val="center"/>
        </w:trPr>
        <w:tc>
          <w:tcPr>
            <w:tcW w:w="10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tcMar>
              <w:left w:w="107" w:type="dxa"/>
            </w:tcMar>
            <w:vAlign w:val="center"/>
          </w:tcPr>
          <w:p w:rsidR="0095218E" w:rsidRDefault="00EF0BC8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Lecture No.</w:t>
            </w:r>
          </w:p>
        </w:tc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tcMar>
              <w:left w:w="107" w:type="dxa"/>
            </w:tcMar>
            <w:vAlign w:val="center"/>
          </w:tcPr>
          <w:p w:rsidR="0095218E" w:rsidRDefault="00EF0BC8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Learning </w:t>
            </w:r>
            <w:r>
              <w:rPr>
                <w:b/>
                <w:bCs/>
                <w:sz w:val="22"/>
                <w:szCs w:val="22"/>
              </w:rPr>
              <w:t>objectives</w:t>
            </w:r>
          </w:p>
        </w:tc>
        <w:tc>
          <w:tcPr>
            <w:tcW w:w="4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tcMar>
              <w:left w:w="107" w:type="dxa"/>
            </w:tcMar>
            <w:vAlign w:val="center"/>
          </w:tcPr>
          <w:p w:rsidR="0095218E" w:rsidRDefault="00EF0BC8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6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E6E6E6"/>
            <w:tcMar>
              <w:left w:w="107" w:type="dxa"/>
            </w:tcMar>
            <w:vAlign w:val="center"/>
          </w:tcPr>
          <w:p w:rsidR="0095218E" w:rsidRDefault="00EF0BC8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95218E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1-5</w:t>
            </w:r>
          </w:p>
        </w:tc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nil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Vector spaces and dual spaces</w:t>
            </w:r>
          </w:p>
        </w:tc>
        <w:tc>
          <w:tcPr>
            <w:tcW w:w="4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Basics of vector spaces and dual spaces</w:t>
            </w:r>
          </w:p>
        </w:tc>
        <w:tc>
          <w:tcPr>
            <w:tcW w:w="16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4.1 –  4.3</w:t>
            </w:r>
          </w:p>
        </w:tc>
      </w:tr>
      <w:tr w:rsidR="0095218E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6-8</w:t>
            </w:r>
          </w:p>
        </w:tc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nil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Modules</w:t>
            </w:r>
          </w:p>
        </w:tc>
        <w:tc>
          <w:tcPr>
            <w:tcW w:w="4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Basics of modules</w:t>
            </w:r>
          </w:p>
        </w:tc>
        <w:tc>
          <w:tcPr>
            <w:tcW w:w="16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4.5</w:t>
            </w:r>
          </w:p>
        </w:tc>
      </w:tr>
      <w:tr w:rsidR="0095218E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9-13</w:t>
            </w:r>
          </w:p>
        </w:tc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nil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Extension of fields</w:t>
            </w:r>
          </w:p>
        </w:tc>
        <w:tc>
          <w:tcPr>
            <w:tcW w:w="4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Field extension, algebraic element, and </w:t>
            </w:r>
            <w:r>
              <w:rPr>
                <w:sz w:val="22"/>
                <w:szCs w:val="22"/>
              </w:rPr>
              <w:t>transcendental element</w:t>
            </w:r>
          </w:p>
        </w:tc>
        <w:tc>
          <w:tcPr>
            <w:tcW w:w="16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5.1, 5.2</w:t>
            </w:r>
          </w:p>
        </w:tc>
      </w:tr>
      <w:tr w:rsidR="0095218E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14-19</w:t>
            </w:r>
          </w:p>
        </w:tc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nil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Root of a polynomial</w:t>
            </w:r>
          </w:p>
        </w:tc>
        <w:tc>
          <w:tcPr>
            <w:tcW w:w="4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Definition of root, multiplicity of roots, splitting field, and simple extension</w:t>
            </w:r>
          </w:p>
        </w:tc>
        <w:tc>
          <w:tcPr>
            <w:tcW w:w="16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5.3, 5.5</w:t>
            </w:r>
          </w:p>
        </w:tc>
      </w:tr>
      <w:tr w:rsidR="0095218E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20-25</w:t>
            </w:r>
          </w:p>
        </w:tc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nil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Galois Theory</w:t>
            </w:r>
          </w:p>
        </w:tc>
        <w:tc>
          <w:tcPr>
            <w:tcW w:w="4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Galois extension and Galois groups</w:t>
            </w:r>
          </w:p>
        </w:tc>
        <w:tc>
          <w:tcPr>
            <w:tcW w:w="16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5.6</w:t>
            </w:r>
          </w:p>
        </w:tc>
      </w:tr>
      <w:tr w:rsidR="0095218E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26-28</w:t>
            </w:r>
          </w:p>
        </w:tc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Algebra of Linear Transformations</w:t>
            </w:r>
          </w:p>
        </w:tc>
        <w:tc>
          <w:tcPr>
            <w:tcW w:w="4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r>
              <w:t>Algebra of linear transformations and related results</w:t>
            </w:r>
          </w:p>
        </w:tc>
        <w:tc>
          <w:tcPr>
            <w:tcW w:w="16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r>
              <w:t>6.1</w:t>
            </w:r>
          </w:p>
        </w:tc>
      </w:tr>
      <w:tr w:rsidR="0095218E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29-31</w:t>
            </w:r>
          </w:p>
        </w:tc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Characteristic Roots</w:t>
            </w:r>
          </w:p>
        </w:tc>
        <w:tc>
          <w:tcPr>
            <w:tcW w:w="4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r>
              <w:t>Characteristic roots, characteristic vectors, and related results</w:t>
            </w:r>
          </w:p>
        </w:tc>
        <w:tc>
          <w:tcPr>
            <w:tcW w:w="16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r>
              <w:t>6.2</w:t>
            </w:r>
          </w:p>
        </w:tc>
      </w:tr>
      <w:tr w:rsidR="0095218E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</w:t>
            </w:r>
          </w:p>
        </w:tc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Matrices</w:t>
            </w:r>
          </w:p>
        </w:tc>
        <w:tc>
          <w:tcPr>
            <w:tcW w:w="4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r>
              <w:t>Matrices of linear transformations</w:t>
            </w:r>
          </w:p>
        </w:tc>
        <w:tc>
          <w:tcPr>
            <w:tcW w:w="16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r>
              <w:t>6.3</w:t>
            </w:r>
          </w:p>
        </w:tc>
      </w:tr>
      <w:tr w:rsidR="0095218E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33-35</w:t>
            </w:r>
          </w:p>
        </w:tc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Canonical Forms: Triangular</w:t>
            </w:r>
          </w:p>
        </w:tc>
        <w:tc>
          <w:tcPr>
            <w:tcW w:w="4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r>
              <w:t xml:space="preserve">Similar </w:t>
            </w:r>
            <w:r>
              <w:t>transformations, invariant subspaces, and triangular forms</w:t>
            </w:r>
          </w:p>
        </w:tc>
        <w:tc>
          <w:tcPr>
            <w:tcW w:w="16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r>
              <w:t>6.4</w:t>
            </w:r>
          </w:p>
        </w:tc>
      </w:tr>
      <w:tr w:rsidR="0095218E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36-37</w:t>
            </w:r>
          </w:p>
        </w:tc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Canonical Forms: Nilpotent</w:t>
            </w:r>
          </w:p>
        </w:tc>
        <w:tc>
          <w:tcPr>
            <w:tcW w:w="4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r>
              <w:t xml:space="preserve">Nilpotent transformation, index of </w:t>
            </w:r>
            <w:proofErr w:type="spellStart"/>
            <w:r>
              <w:t>nilpotence</w:t>
            </w:r>
            <w:proofErr w:type="spellEnd"/>
            <w:r>
              <w:t>, and related results</w:t>
            </w:r>
          </w:p>
        </w:tc>
        <w:tc>
          <w:tcPr>
            <w:tcW w:w="16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r>
              <w:t>6.5</w:t>
            </w:r>
          </w:p>
        </w:tc>
      </w:tr>
      <w:tr w:rsidR="0095218E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38-40 </w:t>
            </w:r>
          </w:p>
        </w:tc>
        <w:tc>
          <w:tcPr>
            <w:tcW w:w="23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Canonical Forms: Jordan</w:t>
            </w:r>
          </w:p>
        </w:tc>
        <w:tc>
          <w:tcPr>
            <w:tcW w:w="43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r>
              <w:t xml:space="preserve">Decomposition of a vector space and Jordan canonical </w:t>
            </w:r>
            <w:r>
              <w:t>form</w:t>
            </w:r>
          </w:p>
        </w:tc>
        <w:tc>
          <w:tcPr>
            <w:tcW w:w="16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107" w:type="dxa"/>
            </w:tcMar>
            <w:vAlign w:val="center"/>
          </w:tcPr>
          <w:p w:rsidR="0095218E" w:rsidRDefault="00EF0BC8">
            <w:r>
              <w:t>6.6</w:t>
            </w:r>
          </w:p>
        </w:tc>
      </w:tr>
    </w:tbl>
    <w:p w:rsidR="0095218E" w:rsidRDefault="0095218E"/>
    <w:p w:rsidR="0095218E" w:rsidRDefault="00EF0BC8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431"/>
        <w:gridCol w:w="1259"/>
        <w:gridCol w:w="1440"/>
        <w:gridCol w:w="2594"/>
        <w:gridCol w:w="1580"/>
      </w:tblGrid>
      <w:tr w:rsidR="0095218E">
        <w:trPr>
          <w:trHeight w:val="422"/>
          <w:jc w:val="center"/>
        </w:trPr>
        <w:tc>
          <w:tcPr>
            <w:tcW w:w="2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95218E" w:rsidRDefault="00EF0B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95218E" w:rsidRDefault="00EF0B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95218E" w:rsidRDefault="00EF0B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 (%)</w:t>
            </w:r>
          </w:p>
        </w:tc>
        <w:tc>
          <w:tcPr>
            <w:tcW w:w="2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95218E" w:rsidRDefault="00EF0B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E6E6E6"/>
            <w:tcMar>
              <w:left w:w="108" w:type="dxa"/>
            </w:tcMar>
            <w:vAlign w:val="center"/>
          </w:tcPr>
          <w:p w:rsidR="0095218E" w:rsidRDefault="00EF0B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95218E">
        <w:trPr>
          <w:trHeight w:val="530"/>
          <w:jc w:val="center"/>
        </w:trPr>
        <w:tc>
          <w:tcPr>
            <w:tcW w:w="2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5218E" w:rsidRDefault="00EF0BC8">
            <w:pPr>
              <w:jc w:val="center"/>
            </w:pPr>
            <w:r>
              <w:t>Mid-semester Exam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5218E" w:rsidRDefault="00EF0BC8">
            <w:pPr>
              <w:jc w:val="center"/>
            </w:pPr>
            <w:r>
              <w:t>90mins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5218E" w:rsidRDefault="00EF0BC8">
            <w:pPr>
              <w:jc w:val="center"/>
            </w:pPr>
            <w:r>
              <w:t>30</w:t>
            </w:r>
          </w:p>
        </w:tc>
        <w:tc>
          <w:tcPr>
            <w:tcW w:w="2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5218E" w:rsidRDefault="001A37F9">
            <w:pPr>
              <w:jc w:val="center"/>
            </w:pPr>
            <w:r>
              <w:t>02/03 3.30 - 5.00PM</w:t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5218E" w:rsidRDefault="00EF0BC8">
            <w:pPr>
              <w:jc w:val="center"/>
            </w:pPr>
            <w:r>
              <w:t>Open book</w:t>
            </w:r>
          </w:p>
        </w:tc>
      </w:tr>
      <w:tr w:rsidR="0095218E">
        <w:trPr>
          <w:trHeight w:val="530"/>
          <w:jc w:val="center"/>
        </w:trPr>
        <w:tc>
          <w:tcPr>
            <w:tcW w:w="2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5218E" w:rsidRDefault="00EF0BC8">
            <w:pPr>
              <w:jc w:val="center"/>
            </w:pPr>
            <w:r>
              <w:t>2 Quizzes and 1 Assignment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5218E" w:rsidRDefault="00EF0BC8">
            <w:pPr>
              <w:jc w:val="center"/>
            </w:pPr>
            <w:r>
              <w:t>Will be announced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5218E" w:rsidRDefault="00EF0BC8">
            <w:pPr>
              <w:jc w:val="center"/>
            </w:pPr>
            <w:r>
              <w:t>30</w:t>
            </w:r>
          </w:p>
        </w:tc>
        <w:tc>
          <w:tcPr>
            <w:tcW w:w="2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5218E" w:rsidRDefault="00EF0BC8">
            <w:r>
              <w:t xml:space="preserve">     Will be announced*</w:t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5218E" w:rsidRDefault="00EF0BC8">
            <w:pPr>
              <w:jc w:val="center"/>
            </w:pPr>
            <w:r>
              <w:t>Open book</w:t>
            </w:r>
          </w:p>
        </w:tc>
      </w:tr>
      <w:tr w:rsidR="0095218E">
        <w:trPr>
          <w:trHeight w:val="530"/>
          <w:jc w:val="center"/>
        </w:trPr>
        <w:tc>
          <w:tcPr>
            <w:tcW w:w="24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5218E" w:rsidRDefault="00EF0BC8">
            <w:pPr>
              <w:jc w:val="center"/>
            </w:pPr>
            <w:r>
              <w:t>Comprehensive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5218E" w:rsidRDefault="00EF0BC8">
            <w:pPr>
              <w:jc w:val="center"/>
            </w:pPr>
            <w:r>
              <w:t xml:space="preserve">120 </w:t>
            </w:r>
            <w:proofErr w:type="spellStart"/>
            <w:r>
              <w:t>mins</w:t>
            </w:r>
            <w:proofErr w:type="spellEnd"/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5218E" w:rsidRDefault="00EF0BC8">
            <w:pPr>
              <w:jc w:val="center"/>
            </w:pPr>
            <w:r>
              <w:t>40</w:t>
            </w:r>
          </w:p>
        </w:tc>
        <w:tc>
          <w:tcPr>
            <w:tcW w:w="25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5218E" w:rsidRDefault="001A37F9">
            <w:pPr>
              <w:jc w:val="center"/>
            </w:pPr>
            <w:r>
              <w:t>05/05 AN</w:t>
            </w:r>
          </w:p>
        </w:tc>
        <w:tc>
          <w:tcPr>
            <w:tcW w:w="15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5218E" w:rsidRDefault="00EF0BC8">
            <w:pPr>
              <w:jc w:val="center"/>
            </w:pPr>
            <w:r>
              <w:t>Open book</w:t>
            </w:r>
          </w:p>
        </w:tc>
      </w:tr>
    </w:tbl>
    <w:p w:rsidR="0095218E" w:rsidRDefault="00EF0BC8">
      <w:pPr>
        <w:jc w:val="both"/>
      </w:pPr>
      <w:r>
        <w:t xml:space="preserve">            *Exact date and duration will be notified later</w:t>
      </w:r>
    </w:p>
    <w:p w:rsidR="0095218E" w:rsidRDefault="0095218E">
      <w:pPr>
        <w:jc w:val="both"/>
      </w:pPr>
    </w:p>
    <w:p w:rsidR="0095218E" w:rsidRDefault="00EF0BC8">
      <w:pPr>
        <w:jc w:val="both"/>
      </w:pPr>
      <w:r>
        <w:t xml:space="preserve">Total marks </w:t>
      </w:r>
      <w:proofErr w:type="gramStart"/>
      <w:r>
        <w:t>is</w:t>
      </w:r>
      <w:proofErr w:type="gramEnd"/>
      <w:r>
        <w:t xml:space="preserve"> 100</w:t>
      </w:r>
    </w:p>
    <w:p w:rsidR="0095218E" w:rsidRDefault="0095218E">
      <w:pPr>
        <w:jc w:val="both"/>
        <w:rPr>
          <w:b/>
          <w:bCs/>
        </w:rPr>
      </w:pPr>
    </w:p>
    <w:p w:rsidR="0095218E" w:rsidRDefault="00EF0BC8">
      <w:pPr>
        <w:jc w:val="both"/>
        <w:rPr>
          <w:spacing w:val="-2"/>
          <w:sz w:val="22"/>
        </w:rPr>
      </w:pPr>
      <w:r>
        <w:rPr>
          <w:b/>
          <w:bCs/>
        </w:rPr>
        <w:t>Chamber Consultation Hour:</w:t>
      </w:r>
      <w:r>
        <w:t xml:space="preserve"> </w:t>
      </w:r>
      <w:r>
        <w:rPr>
          <w:spacing w:val="-2"/>
          <w:sz w:val="22"/>
        </w:rPr>
        <w:t>To be announced by the Instructor.</w:t>
      </w:r>
    </w:p>
    <w:p w:rsidR="0095218E" w:rsidRDefault="0095218E">
      <w:pPr>
        <w:jc w:val="both"/>
        <w:rPr>
          <w:b/>
          <w:bCs/>
        </w:rPr>
      </w:pPr>
    </w:p>
    <w:p w:rsidR="0095218E" w:rsidRDefault="00EF0BC8">
      <w:pPr>
        <w:jc w:val="both"/>
        <w:rPr>
          <w:bCs/>
        </w:rPr>
      </w:pPr>
      <w:r>
        <w:rPr>
          <w:b/>
          <w:bCs/>
        </w:rPr>
        <w:t>Notices:</w:t>
      </w:r>
      <w:r>
        <w:t xml:space="preserve"> </w:t>
      </w:r>
      <w:r>
        <w:rPr>
          <w:bCs/>
        </w:rPr>
        <w:t xml:space="preserve">The notices concerning this course will be announced on the CMS </w:t>
      </w:r>
      <w:r>
        <w:rPr>
          <w:bCs/>
        </w:rPr>
        <w:t>Notice Board only.</w:t>
      </w:r>
    </w:p>
    <w:p w:rsidR="0095218E" w:rsidRDefault="0095218E">
      <w:pPr>
        <w:jc w:val="both"/>
        <w:rPr>
          <w:b/>
        </w:rPr>
      </w:pPr>
    </w:p>
    <w:p w:rsidR="0095218E" w:rsidRDefault="00EF0BC8">
      <w:pPr>
        <w:jc w:val="both"/>
        <w:rPr>
          <w:spacing w:val="-2"/>
          <w:sz w:val="22"/>
        </w:rPr>
      </w:pPr>
      <w:r>
        <w:rPr>
          <w:b/>
        </w:rPr>
        <w:t xml:space="preserve">Make-up Policy: </w:t>
      </w:r>
      <w:r>
        <w:rPr>
          <w:spacing w:val="-2"/>
          <w:sz w:val="22"/>
        </w:rPr>
        <w:t>Make-up for tests will be given only for genuine cases and prior permission has to be obtained from Instructor In-charge.</w:t>
      </w:r>
    </w:p>
    <w:p w:rsidR="0095218E" w:rsidRDefault="0095218E">
      <w:pPr>
        <w:jc w:val="both"/>
        <w:rPr>
          <w:b/>
          <w:sz w:val="22"/>
          <w:szCs w:val="22"/>
        </w:rPr>
      </w:pPr>
    </w:p>
    <w:p w:rsidR="0095218E" w:rsidRDefault="00EF0BC8">
      <w:pPr>
        <w:jc w:val="both"/>
        <w:rPr>
          <w:bCs/>
        </w:rPr>
      </w:pPr>
      <w:r>
        <w:rPr>
          <w:b/>
          <w:sz w:val="22"/>
          <w:szCs w:val="22"/>
        </w:rPr>
        <w:t xml:space="preserve">Academic Honesty and Integrity Policy: </w:t>
      </w:r>
      <w:r>
        <w:rPr>
          <w:bCs/>
        </w:rPr>
        <w:t>Academic honesty and integrity are to be maintained by all</w:t>
      </w:r>
      <w:r>
        <w:rPr>
          <w:bCs/>
        </w:rPr>
        <w:t xml:space="preserve"> the students throughout the semester and any type of academic dishonesty is not acceptable.</w:t>
      </w:r>
    </w:p>
    <w:p w:rsidR="0095218E" w:rsidRDefault="0095218E">
      <w:pPr>
        <w:jc w:val="both"/>
        <w:rPr>
          <w:b/>
        </w:rPr>
      </w:pPr>
    </w:p>
    <w:p w:rsidR="0095218E" w:rsidRDefault="0095218E">
      <w:pPr>
        <w:jc w:val="both"/>
        <w:rPr>
          <w:b/>
        </w:rPr>
      </w:pPr>
    </w:p>
    <w:p w:rsidR="0095218E" w:rsidRDefault="0095218E">
      <w:pPr>
        <w:jc w:val="right"/>
      </w:pPr>
      <w:bookmarkStart w:id="0" w:name="_GoBack"/>
      <w:bookmarkEnd w:id="0"/>
    </w:p>
    <w:p w:rsidR="0095218E" w:rsidRDefault="00EF0BC8">
      <w:pPr>
        <w:jc w:val="right"/>
        <w:rPr>
          <w:b/>
          <w:bCs/>
        </w:rPr>
      </w:pPr>
      <w:r>
        <w:rPr>
          <w:b/>
          <w:bCs/>
        </w:rPr>
        <w:t xml:space="preserve">    </w:t>
      </w:r>
    </w:p>
    <w:p w:rsidR="0095218E" w:rsidRDefault="0095218E">
      <w:pPr>
        <w:jc w:val="right"/>
        <w:rPr>
          <w:b/>
          <w:bCs/>
        </w:rPr>
      </w:pPr>
    </w:p>
    <w:p w:rsidR="0095218E" w:rsidRDefault="00EF0BC8">
      <w:pPr>
        <w:jc w:val="right"/>
        <w:rPr>
          <w:b/>
          <w:bCs/>
          <w:spacing w:val="-2"/>
          <w:sz w:val="22"/>
        </w:rPr>
      </w:pPr>
      <w:r>
        <w:rPr>
          <w:b/>
          <w:bCs/>
        </w:rPr>
        <w:t xml:space="preserve"> INSTRUCTOR-IN-CHARGE (</w:t>
      </w:r>
      <w:r>
        <w:rPr>
          <w:b/>
          <w:bCs/>
          <w:spacing w:val="-2"/>
          <w:sz w:val="22"/>
        </w:rPr>
        <w:t>MATH F215)</w:t>
      </w:r>
    </w:p>
    <w:sectPr w:rsidR="0095218E">
      <w:headerReference w:type="default" r:id="rId8"/>
      <w:footerReference w:type="default" r:id="rId9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BC8" w:rsidRDefault="00EF0BC8">
      <w:r>
        <w:separator/>
      </w:r>
    </w:p>
  </w:endnote>
  <w:endnote w:type="continuationSeparator" w:id="0">
    <w:p w:rsidR="00EF0BC8" w:rsidRDefault="00EF0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18E" w:rsidRDefault="00EF0BC8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0" b="0"/>
          <wp:docPr id="2" name="Picture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Tagline_color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BC8" w:rsidRDefault="00EF0BC8">
      <w:r>
        <w:separator/>
      </w:r>
    </w:p>
  </w:footnote>
  <w:footnote w:type="continuationSeparator" w:id="0">
    <w:p w:rsidR="00EF0BC8" w:rsidRDefault="00EF0B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18E" w:rsidRDefault="0095218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51455"/>
    <w:multiLevelType w:val="multilevel"/>
    <w:tmpl w:val="66B248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A382C"/>
    <w:multiLevelType w:val="multilevel"/>
    <w:tmpl w:val="5AD63D2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218E"/>
    <w:rsid w:val="001A37F9"/>
    <w:rsid w:val="0095218E"/>
    <w:rsid w:val="00EF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E1046"/>
  <w15:docId w15:val="{17905104-B720-4A51-B35C-A20E2BA8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semiHidden/>
    <w:pPr>
      <w:spacing w:line="288" w:lineRule="auto"/>
      <w:jc w:val="both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TextBodyIndent">
    <w:name w:val="Text Body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34"/>
    <w:qFormat/>
    <w:rsid w:val="00D94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25</cp:revision>
  <cp:lastPrinted>2014-09-08T11:05:00Z</cp:lastPrinted>
  <dcterms:created xsi:type="dcterms:W3CDTF">2019-07-22T10:49:00Z</dcterms:created>
  <dcterms:modified xsi:type="dcterms:W3CDTF">2021-01-16T07:14:00Z</dcterms:modified>
  <dc:language>en-IN</dc:language>
</cp:coreProperties>
</file>