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1A" w:rsidRPr="000E0983" w:rsidRDefault="008A4682" w:rsidP="000E09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24425" cy="995363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71A" w:rsidRPr="000E0983" w:rsidRDefault="004C0E5B" w:rsidP="000E09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SECOND </w:t>
      </w:r>
      <w:r w:rsidR="008A4682" w:rsidRPr="000E0983">
        <w:rPr>
          <w:rFonts w:ascii="Times New Roman" w:eastAsia="Times New Roman" w:hAnsi="Times New Roman" w:cs="Times New Roman"/>
          <w:b/>
          <w:sz w:val="24"/>
          <w:szCs w:val="24"/>
        </w:rPr>
        <w:t>SEMESTER 20</w:t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="008A4682" w:rsidRPr="000E0983"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782F6D" w:rsidRPr="000E098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1F171A" w:rsidRPr="000E0983" w:rsidRDefault="008A4682" w:rsidP="000E0983">
      <w:pPr>
        <w:pStyle w:val="Heading1"/>
        <w:jc w:val="center"/>
      </w:pPr>
      <w:r w:rsidRPr="000E0983">
        <w:t>Course Handout Part II</w:t>
      </w:r>
    </w:p>
    <w:p w:rsidR="001F171A" w:rsidRPr="000E0983" w:rsidRDefault="008A4682" w:rsidP="000E09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ab/>
      </w:r>
      <w:r w:rsidR="003C6971">
        <w:rPr>
          <w:rFonts w:ascii="Times New Roman" w:eastAsia="Times New Roman" w:hAnsi="Times New Roman" w:cs="Times New Roman"/>
          <w:sz w:val="24"/>
          <w:szCs w:val="24"/>
        </w:rPr>
        <w:t>Date: 15</w:t>
      </w:r>
      <w:r w:rsidR="004C0E5B" w:rsidRPr="000E0983">
        <w:rPr>
          <w:rFonts w:ascii="Times New Roman" w:eastAsia="Times New Roman" w:hAnsi="Times New Roman" w:cs="Times New Roman"/>
          <w:sz w:val="24"/>
          <w:szCs w:val="24"/>
        </w:rPr>
        <w:t>-</w:t>
      </w:r>
      <w:r w:rsidR="000E0983" w:rsidRPr="000E0983">
        <w:rPr>
          <w:rFonts w:ascii="Times New Roman" w:eastAsia="Times New Roman" w:hAnsi="Times New Roman" w:cs="Times New Roman"/>
          <w:sz w:val="24"/>
          <w:szCs w:val="24"/>
        </w:rPr>
        <w:t>0</w:t>
      </w:r>
      <w:r w:rsidR="004C0E5B" w:rsidRPr="000E0983">
        <w:rPr>
          <w:rFonts w:ascii="Times New Roman" w:eastAsia="Times New Roman" w:hAnsi="Times New Roman" w:cs="Times New Roman"/>
          <w:sz w:val="24"/>
          <w:szCs w:val="24"/>
        </w:rPr>
        <w:t>1-2022</w:t>
      </w: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proofErr w:type="gramStart"/>
      <w:r w:rsidRPr="000E0983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 w:rsidRPr="000E0983"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1743B" w:rsidRPr="000E0983">
        <w:rPr>
          <w:rFonts w:ascii="Times New Roman" w:eastAsia="Times New Roman" w:hAnsi="Times New Roman" w:cs="Times New Roman"/>
          <w:sz w:val="24"/>
          <w:szCs w:val="24"/>
        </w:rPr>
        <w:t>HSS</w:t>
      </w:r>
      <w:r w:rsidR="00211AB7" w:rsidRPr="000E0983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>363</w:t>
      </w: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Disaster and Development </w:t>
      </w: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542CF8" w:rsidRPr="000E0983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Biswanath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 Dash</w:t>
      </w: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8A4682" w:rsidP="000E0983">
      <w:pPr>
        <w:tabs>
          <w:tab w:val="left" w:pos="91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1F171A" w:rsidRPr="000E0983" w:rsidRDefault="008A4682" w:rsidP="000E09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The course aims at an understanding of the linkages between development and disaster. </w:t>
      </w:r>
      <w:r w:rsidR="00211174" w:rsidRPr="000E0983">
        <w:rPr>
          <w:rFonts w:ascii="Times New Roman" w:eastAsia="Times New Roman" w:hAnsi="Times New Roman" w:cs="Times New Roman"/>
          <w:sz w:val="24"/>
          <w:szCs w:val="24"/>
        </w:rPr>
        <w:t>The unprecedented nature of the ongoing pandemic has highlighted the importance of this linkage and the necessity to examine it at a deeper level. Other r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ecent disasters such as Cyclone </w:t>
      </w:r>
      <w:proofErr w:type="spellStart"/>
      <w:r w:rsidR="00211174" w:rsidRPr="000E0983">
        <w:rPr>
          <w:rFonts w:ascii="Times New Roman" w:eastAsia="Times New Roman" w:hAnsi="Times New Roman" w:cs="Times New Roman"/>
          <w:sz w:val="24"/>
          <w:szCs w:val="24"/>
        </w:rPr>
        <w:t>Amphan</w:t>
      </w:r>
      <w:proofErr w:type="spellEnd"/>
      <w:r w:rsidR="00211174" w:rsidRPr="000E0983">
        <w:rPr>
          <w:rFonts w:ascii="Times New Roman" w:eastAsia="Times New Roman" w:hAnsi="Times New Roman" w:cs="Times New Roman"/>
          <w:sz w:val="24"/>
          <w:szCs w:val="24"/>
        </w:rPr>
        <w:t xml:space="preserve">, 2020;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Fani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 in Odisha 2019, ‘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Titli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>, in Andhra Pradesh, 2018, Severe Flood in Kerala, 2018</w:t>
      </w:r>
      <w:r w:rsidR="005B263E" w:rsidRPr="000E09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Chennai, 2015 and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Uttarakhand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, 2013 etc. have brought to </w:t>
      </w:r>
      <w:r w:rsidR="005B263E" w:rsidRPr="000E09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fore the importance of planning and that of disaster risk mitigation. It is also widely recognized that flawed policies and practices of development engender disaster risk, neutralizing gains accrued over a long period of time. Its impact on business triggers a cascading effect, crippling vital functions in the short term and </w:t>
      </w:r>
      <w:r w:rsidR="005B263E" w:rsidRPr="000E0983">
        <w:rPr>
          <w:rFonts w:ascii="Times New Roman" w:eastAsia="Times New Roman" w:hAnsi="Times New Roman" w:cs="Times New Roman"/>
          <w:sz w:val="24"/>
          <w:szCs w:val="24"/>
        </w:rPr>
        <w:t xml:space="preserve">meaningful rehabilitation and recovery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in longer terms. Conversely disasters, while being destructive in nature, also provide opportunities in its aftermath to undertake more sustainable and resilient developmental practices.  </w:t>
      </w:r>
    </w:p>
    <w:p w:rsidR="000E0983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Book: </w:t>
      </w:r>
    </w:p>
    <w:p w:rsidR="001F171A" w:rsidRPr="000E0983" w:rsidRDefault="00C5042E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sz w:val="24"/>
          <w:szCs w:val="24"/>
        </w:rPr>
        <w:t>A set of</w:t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A4682" w:rsidRPr="000E0983">
        <w:rPr>
          <w:rFonts w:ascii="Times New Roman" w:eastAsia="Times New Roman" w:hAnsi="Times New Roman" w:cs="Times New Roman"/>
          <w:sz w:val="24"/>
          <w:szCs w:val="24"/>
        </w:rPr>
        <w:t>Papers to be uploaded on CMS</w:t>
      </w:r>
    </w:p>
    <w:p w:rsidR="00C5042E" w:rsidRPr="000E0983" w:rsidRDefault="00C5042E" w:rsidP="000E09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 </w:t>
      </w:r>
    </w:p>
    <w:p w:rsidR="001F171A" w:rsidRPr="000E0983" w:rsidRDefault="008A4682" w:rsidP="000E098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Bankoff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Frerks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, G. and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Hilhorst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>, H. (2004) (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E0983">
        <w:rPr>
          <w:rFonts w:ascii="Times New Roman" w:eastAsia="Times New Roman" w:hAnsi="Times New Roman" w:cs="Times New Roman"/>
          <w:i/>
          <w:sz w:val="24"/>
          <w:szCs w:val="24"/>
        </w:rPr>
        <w:t>Mapping Vulnerability: Disasters, Development and People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0983">
        <w:rPr>
          <w:rFonts w:ascii="Times New Roman" w:eastAsia="Times New Roman" w:hAnsi="Times New Roman" w:cs="Times New Roman"/>
          <w:sz w:val="24"/>
          <w:szCs w:val="24"/>
        </w:rPr>
        <w:t>Earthscan</w:t>
      </w:r>
      <w:proofErr w:type="spellEnd"/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171A" w:rsidRPr="000E0983" w:rsidRDefault="008A4682" w:rsidP="000E0983">
      <w:pPr>
        <w:tabs>
          <w:tab w:val="left" w:pos="91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Plan: </w:t>
      </w:r>
    </w:p>
    <w:p w:rsidR="00336B2F" w:rsidRPr="000E0983" w:rsidRDefault="00336B2F" w:rsidP="000E0983">
      <w:pPr>
        <w:tabs>
          <w:tab w:val="left" w:pos="91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694"/>
        <w:gridCol w:w="3827"/>
        <w:gridCol w:w="2126"/>
      </w:tblGrid>
      <w:tr w:rsidR="001F171A" w:rsidRPr="000E0983" w:rsidTr="000E0983">
        <w:trPr>
          <w:trHeight w:val="773"/>
        </w:trPr>
        <w:tc>
          <w:tcPr>
            <w:tcW w:w="1134" w:type="dxa"/>
            <w:shd w:val="clear" w:color="auto" w:fill="D9D9D9" w:themeFill="background1" w:themeFillShade="D9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0E0983">
              <w:rPr>
                <w:rFonts w:ascii="Times New Roman" w:eastAsia="Times New Roman" w:hAnsi="Times New Roman" w:cs="Times New Roman"/>
                <w:b/>
              </w:rPr>
              <w:t>Lecture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0E0983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0E0983">
              <w:rPr>
                <w:rFonts w:ascii="Times New Roman" w:eastAsia="Times New Roman" w:hAnsi="Times New Roman" w:cs="Times New Roman"/>
                <w:b/>
              </w:rPr>
              <w:t xml:space="preserve">Learning Objectives 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0E0983">
              <w:rPr>
                <w:rFonts w:ascii="Times New Roman" w:eastAsia="Times New Roman" w:hAnsi="Times New Roman" w:cs="Times New Roman"/>
                <w:b/>
              </w:rPr>
              <w:t xml:space="preserve"> Topics to be covered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F171A" w:rsidRPr="000E0983" w:rsidRDefault="001F77CC" w:rsidP="000E0983">
            <w:pPr>
              <w:rPr>
                <w:rFonts w:ascii="Times New Roman" w:hAnsi="Times New Roman" w:cs="Times New Roman"/>
                <w:b/>
                <w:bCs/>
              </w:rPr>
            </w:pPr>
            <w:r w:rsidRPr="000E0983">
              <w:rPr>
                <w:rFonts w:ascii="Times New Roman" w:hAnsi="Times New Roman" w:cs="Times New Roman"/>
                <w:b/>
                <w:bCs/>
              </w:rPr>
              <w:t>Chapter in the Text Book</w:t>
            </w:r>
          </w:p>
        </w:tc>
      </w:tr>
      <w:tr w:rsidR="001F171A" w:rsidRPr="000E0983" w:rsidTr="000E0983">
        <w:trPr>
          <w:trHeight w:val="62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3827" w:type="dxa"/>
          </w:tcPr>
          <w:p w:rsidR="001F171A" w:rsidRPr="000E0983" w:rsidRDefault="008A4682" w:rsidP="000E0983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1F171A" w:rsidRPr="000E0983" w:rsidRDefault="008A4682" w:rsidP="000E0983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evaluation component including course assignment</w:t>
            </w:r>
          </w:p>
        </w:tc>
        <w:tc>
          <w:tcPr>
            <w:tcW w:w="2126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Course Handout</w:t>
            </w:r>
          </w:p>
          <w:p w:rsidR="001F171A" w:rsidRPr="000E0983" w:rsidRDefault="001F171A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71A" w:rsidRPr="000E0983" w:rsidTr="000E0983">
        <w:trPr>
          <w:trHeight w:val="110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3-9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core concepts and key theoretical framework</w:t>
            </w:r>
          </w:p>
        </w:tc>
        <w:tc>
          <w:tcPr>
            <w:tcW w:w="3827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Disaster, Vulnerability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Risk, and Resilience;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Risk Management (DRM) and Disaster Risk Reduction (DRR)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Mitigation and 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Capacity Development </w:t>
            </w:r>
          </w:p>
        </w:tc>
        <w:tc>
          <w:tcPr>
            <w:tcW w:w="2126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 </w:t>
            </w:r>
            <w:r w:rsidR="00B60740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Book/Reading Material </w:t>
            </w:r>
          </w:p>
          <w:p w:rsidR="001F171A" w:rsidRPr="000E0983" w:rsidRDefault="001F171A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71A" w:rsidRPr="000E0983" w:rsidTr="000E0983">
        <w:trPr>
          <w:trHeight w:val="78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10-15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examine and reflect on how disasters impact development </w:t>
            </w:r>
          </w:p>
        </w:tc>
        <w:tc>
          <w:tcPr>
            <w:tcW w:w="3827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 between disaster and development </w:t>
            </w:r>
          </w:p>
          <w:p w:rsidR="001F171A" w:rsidRPr="000E0983" w:rsidRDefault="00C5042E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Case of Pandemic</w:t>
            </w:r>
            <w:r w:rsidR="004C0E5B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60740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Hurricane in Cancun, Mexico; </w:t>
            </w:r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Cyclone </w:t>
            </w:r>
            <w:proofErr w:type="spellStart"/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Fani</w:t>
            </w:r>
            <w:proofErr w:type="spellEnd"/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Kerala Flood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Reading Material</w:t>
            </w:r>
            <w:r w:rsidR="00C5042E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71A" w:rsidRPr="000E0983" w:rsidTr="000E0983">
        <w:trPr>
          <w:trHeight w:val="188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16-19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explore gaps in our understanding and limitation of risk analysis  </w:t>
            </w:r>
          </w:p>
        </w:tc>
        <w:tc>
          <w:tcPr>
            <w:tcW w:w="3827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Limitations of damage and loss assessment method 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tools and their limitations</w:t>
            </w:r>
          </w:p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Study: Hurricane ‘</w:t>
            </w:r>
            <w:proofErr w:type="spellStart"/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Hayian</w:t>
            </w:r>
            <w:proofErr w:type="spellEnd"/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Philippines </w:t>
            </w:r>
          </w:p>
        </w:tc>
        <w:tc>
          <w:tcPr>
            <w:tcW w:w="2126" w:type="dxa"/>
          </w:tcPr>
          <w:p w:rsidR="001F171A" w:rsidRPr="000E0983" w:rsidRDefault="00C5042E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</w:t>
            </w:r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Papers</w:t>
            </w:r>
          </w:p>
        </w:tc>
      </w:tr>
      <w:tr w:rsidR="001F171A" w:rsidRPr="000E0983" w:rsidTr="000E0983">
        <w:trPr>
          <w:trHeight w:val="76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analyze process of Mainstreaming of Disaster Risk Reduction (DRR) into Development </w:t>
            </w:r>
          </w:p>
          <w:p w:rsidR="001F171A" w:rsidRPr="000E0983" w:rsidRDefault="001F171A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1F171A" w:rsidRPr="000E0983" w:rsidRDefault="008A4682" w:rsidP="000E0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Mainstreaming </w:t>
            </w:r>
            <w:r w:rsidR="000E0983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frameworks; Policies</w:t>
            </w: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, Plans and Regulations</w:t>
            </w:r>
          </w:p>
          <w:p w:rsidR="001F171A" w:rsidRPr="000E0983" w:rsidRDefault="008A4682" w:rsidP="000E0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Data and modelling limitation</w:t>
            </w:r>
          </w:p>
          <w:p w:rsidR="001F171A" w:rsidRPr="000E0983" w:rsidRDefault="008A4682" w:rsidP="000E0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and economic consideration: Case studies</w:t>
            </w:r>
          </w:p>
        </w:tc>
        <w:tc>
          <w:tcPr>
            <w:tcW w:w="2126" w:type="dxa"/>
          </w:tcPr>
          <w:p w:rsidR="001F171A" w:rsidRPr="000E0983" w:rsidRDefault="00C5042E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</w:t>
            </w:r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papers </w:t>
            </w:r>
          </w:p>
        </w:tc>
      </w:tr>
      <w:tr w:rsidR="001F171A" w:rsidRPr="000E0983" w:rsidTr="000E0983">
        <w:trPr>
          <w:trHeight w:val="760"/>
        </w:trPr>
        <w:tc>
          <w:tcPr>
            <w:tcW w:w="113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3827" w:type="dxa"/>
            <w:vAlign w:val="center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1F171A" w:rsidRPr="000E0983" w:rsidRDefault="008A4682" w:rsidP="000E0983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Vulnerability and Capacity Analysis </w:t>
            </w:r>
          </w:p>
          <w:p w:rsidR="001F171A" w:rsidRPr="000E0983" w:rsidRDefault="008A4682" w:rsidP="000E0983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evaluation, uncertainty  and decision making </w:t>
            </w:r>
          </w:p>
        </w:tc>
        <w:tc>
          <w:tcPr>
            <w:tcW w:w="2126" w:type="dxa"/>
          </w:tcPr>
          <w:p w:rsidR="001F171A" w:rsidRPr="000E0983" w:rsidRDefault="00C5042E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</w:t>
            </w:r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papers</w:t>
            </w:r>
          </w:p>
        </w:tc>
      </w:tr>
      <w:tr w:rsidR="001F171A" w:rsidRPr="000E0983" w:rsidTr="000E0983">
        <w:trPr>
          <w:trHeight w:val="620"/>
        </w:trPr>
        <w:tc>
          <w:tcPr>
            <w:tcW w:w="1134" w:type="dxa"/>
          </w:tcPr>
          <w:p w:rsidR="001F171A" w:rsidRPr="000E0983" w:rsidRDefault="006B4B51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33-43</w:t>
            </w:r>
          </w:p>
        </w:tc>
        <w:tc>
          <w:tcPr>
            <w:tcW w:w="2694" w:type="dxa"/>
          </w:tcPr>
          <w:p w:rsidR="001F171A" w:rsidRPr="000E0983" w:rsidRDefault="008A4682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gain skills for Disaster Management Planning </w:t>
            </w:r>
          </w:p>
        </w:tc>
        <w:tc>
          <w:tcPr>
            <w:tcW w:w="3827" w:type="dxa"/>
          </w:tcPr>
          <w:p w:rsidR="001F171A" w:rsidRPr="000E0983" w:rsidRDefault="008A4682" w:rsidP="000E0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Continuity Plan (BCP)</w:t>
            </w:r>
          </w:p>
          <w:p w:rsidR="001F171A" w:rsidRPr="000E0983" w:rsidRDefault="008A4682" w:rsidP="000E0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and recovery planning </w:t>
            </w:r>
          </w:p>
        </w:tc>
        <w:tc>
          <w:tcPr>
            <w:tcW w:w="2126" w:type="dxa"/>
          </w:tcPr>
          <w:p w:rsidR="001F171A" w:rsidRPr="000E0983" w:rsidRDefault="00C5042E" w:rsidP="000E0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</w:t>
            </w:r>
            <w:r w:rsidR="008A4682" w:rsidRPr="000E0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</w:tbl>
    <w:p w:rsidR="001F171A" w:rsidRPr="000E0983" w:rsidRDefault="001F171A" w:rsidP="000E09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Pr="000E0983" w:rsidRDefault="008A4682" w:rsidP="000E09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842"/>
        <w:gridCol w:w="1560"/>
        <w:gridCol w:w="2409"/>
        <w:gridCol w:w="1843"/>
      </w:tblGrid>
      <w:tr w:rsidR="004C0E5B" w:rsidRPr="000E0983" w:rsidTr="000E0983">
        <w:tc>
          <w:tcPr>
            <w:tcW w:w="2127" w:type="dxa"/>
            <w:shd w:val="clear" w:color="auto" w:fill="D9D9D9" w:themeFill="background1" w:themeFillShade="D9"/>
          </w:tcPr>
          <w:p w:rsidR="004C0E5B" w:rsidRPr="000E0983" w:rsidRDefault="004C0E5B" w:rsidP="000E09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983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C0E5B" w:rsidRPr="000E0983" w:rsidRDefault="004C0E5B" w:rsidP="000E09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983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C0E5B" w:rsidRPr="000E0983" w:rsidRDefault="004C0E5B" w:rsidP="000E09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983">
              <w:rPr>
                <w:rFonts w:ascii="Times New Roman" w:hAnsi="Times New Roman" w:cs="Times New Roman"/>
                <w:b/>
              </w:rPr>
              <w:t>Weightage (%)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C0E5B" w:rsidRPr="000E0983" w:rsidRDefault="004C0E5B" w:rsidP="000E09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983">
              <w:rPr>
                <w:rFonts w:ascii="Times New Roman" w:hAnsi="Times New Roman" w:cs="Times New Roman"/>
                <w:b/>
              </w:rPr>
              <w:t>Date &amp; 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C0E5B" w:rsidRPr="000E0983" w:rsidRDefault="004C0E5B" w:rsidP="000E09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983">
              <w:rPr>
                <w:rFonts w:ascii="Times New Roman" w:hAnsi="Times New Roman" w:cs="Times New Roman"/>
                <w:b/>
              </w:rPr>
              <w:t>Nature of Component</w:t>
            </w:r>
          </w:p>
        </w:tc>
      </w:tr>
      <w:tr w:rsidR="000E0983" w:rsidRPr="000E0983" w:rsidTr="000E0983">
        <w:trPr>
          <w:trHeight w:val="759"/>
        </w:trPr>
        <w:tc>
          <w:tcPr>
            <w:tcW w:w="2127" w:type="dxa"/>
          </w:tcPr>
          <w:p w:rsidR="000E0983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1842" w:type="dxa"/>
          </w:tcPr>
          <w:p w:rsidR="000E0983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1560" w:type="dxa"/>
          </w:tcPr>
          <w:p w:rsidR="000E0983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09" w:type="dxa"/>
          </w:tcPr>
          <w:p w:rsidR="000E0983" w:rsidRPr="000E0983" w:rsidRDefault="000E0983" w:rsidP="000E0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To be announced in Class</w:t>
            </w:r>
          </w:p>
        </w:tc>
        <w:tc>
          <w:tcPr>
            <w:tcW w:w="1843" w:type="dxa"/>
          </w:tcPr>
          <w:p w:rsidR="000E0983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4C0E5B" w:rsidRPr="000E0983" w:rsidTr="000E0983">
        <w:trPr>
          <w:trHeight w:val="420"/>
        </w:trPr>
        <w:tc>
          <w:tcPr>
            <w:tcW w:w="2127" w:type="dxa"/>
          </w:tcPr>
          <w:p w:rsidR="004C0E5B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</w:t>
            </w:r>
            <w:r w:rsidR="004C0E5B" w:rsidRPr="000E0983">
              <w:rPr>
                <w:rFonts w:ascii="Times New Roman" w:hAnsi="Times New Roman" w:cs="Times New Roman"/>
                <w:sz w:val="24"/>
                <w:szCs w:val="24"/>
              </w:rPr>
              <w:t>Semester Test</w:t>
            </w:r>
          </w:p>
        </w:tc>
        <w:tc>
          <w:tcPr>
            <w:tcW w:w="1842" w:type="dxa"/>
          </w:tcPr>
          <w:p w:rsidR="004C0E5B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Minutes</w:t>
            </w:r>
          </w:p>
        </w:tc>
        <w:tc>
          <w:tcPr>
            <w:tcW w:w="1560" w:type="dxa"/>
          </w:tcPr>
          <w:p w:rsidR="004C0E5B" w:rsidRPr="000E0983" w:rsidRDefault="004C0E5B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09" w:type="dxa"/>
          </w:tcPr>
          <w:p w:rsidR="004C0E5B" w:rsidRPr="000E0983" w:rsidRDefault="003C6971" w:rsidP="000E0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16/03 3.30pm to5.00pm</w:t>
            </w:r>
          </w:p>
        </w:tc>
        <w:tc>
          <w:tcPr>
            <w:tcW w:w="1843" w:type="dxa"/>
          </w:tcPr>
          <w:p w:rsidR="004C0E5B" w:rsidRPr="000E0983" w:rsidRDefault="004C0E5B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4C0E5B" w:rsidRPr="000E0983" w:rsidTr="000E0983">
        <w:tc>
          <w:tcPr>
            <w:tcW w:w="2127" w:type="dxa"/>
          </w:tcPr>
          <w:p w:rsidR="004C0E5B" w:rsidRPr="000E0983" w:rsidRDefault="004C0E5B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Comprehensive Examination </w:t>
            </w:r>
          </w:p>
        </w:tc>
        <w:tc>
          <w:tcPr>
            <w:tcW w:w="1842" w:type="dxa"/>
          </w:tcPr>
          <w:p w:rsidR="004C0E5B" w:rsidRPr="000E0983" w:rsidRDefault="000E0983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Minutes</w:t>
            </w:r>
          </w:p>
        </w:tc>
        <w:tc>
          <w:tcPr>
            <w:tcW w:w="1560" w:type="dxa"/>
          </w:tcPr>
          <w:p w:rsidR="004C0E5B" w:rsidRPr="000E0983" w:rsidRDefault="004C0E5B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09" w:type="dxa"/>
          </w:tcPr>
          <w:p w:rsidR="004C0E5B" w:rsidRPr="000E0983" w:rsidRDefault="003C6971" w:rsidP="000E0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23/05 FN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4C0E5B" w:rsidRPr="000E0983" w:rsidRDefault="004C0E5B" w:rsidP="000E0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83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1F171A" w:rsidRPr="000E0983" w:rsidRDefault="001F171A" w:rsidP="000E09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Thursday </w:t>
      </w:r>
      <w:r w:rsidR="00C5042E" w:rsidRPr="000E0983">
        <w:rPr>
          <w:rFonts w:ascii="Times New Roman" w:eastAsia="Times New Roman" w:hAnsi="Times New Roman" w:cs="Times New Roman"/>
          <w:sz w:val="24"/>
          <w:szCs w:val="24"/>
        </w:rPr>
        <w:t>11</w:t>
      </w:r>
      <w:r w:rsidR="00A33F0F">
        <w:rPr>
          <w:rFonts w:ascii="Times New Roman" w:eastAsia="Times New Roman" w:hAnsi="Times New Roman" w:cs="Times New Roman"/>
          <w:sz w:val="24"/>
          <w:szCs w:val="24"/>
        </w:rPr>
        <w:t>.00</w:t>
      </w:r>
      <w:r w:rsidR="00C5042E" w:rsidRPr="000E0983">
        <w:rPr>
          <w:rFonts w:ascii="Times New Roman" w:eastAsia="Times New Roman" w:hAnsi="Times New Roman" w:cs="Times New Roman"/>
          <w:sz w:val="24"/>
          <w:szCs w:val="24"/>
        </w:rPr>
        <w:t>-12</w:t>
      </w:r>
      <w:r w:rsidR="00A33F0F">
        <w:rPr>
          <w:rFonts w:ascii="Times New Roman" w:eastAsia="Times New Roman" w:hAnsi="Times New Roman" w:cs="Times New Roman"/>
          <w:sz w:val="24"/>
          <w:szCs w:val="24"/>
        </w:rPr>
        <w:t>.00 PM</w:t>
      </w:r>
      <w:r w:rsidR="009D0F44" w:rsidRPr="000E09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55D3" w:rsidRPr="000E0983" w:rsidRDefault="008A4682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Make-up Policy:</w:t>
      </w:r>
      <w:r w:rsidR="009D0F44"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0983">
        <w:rPr>
          <w:rFonts w:ascii="Times New Roman" w:eastAsia="Times New Roman" w:hAnsi="Times New Roman" w:cs="Times New Roman"/>
          <w:sz w:val="24"/>
          <w:szCs w:val="24"/>
        </w:rPr>
        <w:t xml:space="preserve">The make-up for an evaluation component will be given only in genuine cases. </w:t>
      </w:r>
    </w:p>
    <w:p w:rsidR="00C5042E" w:rsidRPr="000E0983" w:rsidRDefault="00C5042E" w:rsidP="000E098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55D3" w:rsidRPr="000E0983" w:rsidRDefault="002555D3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3">
        <w:rPr>
          <w:rFonts w:ascii="Times New Roman" w:hAnsi="Times New Roman" w:cs="Times New Roman"/>
          <w:b/>
          <w:bCs/>
          <w:sz w:val="24"/>
          <w:szCs w:val="24"/>
        </w:rPr>
        <w:t>Academic Honesty and Integrity Policy</w:t>
      </w:r>
      <w:r w:rsidRPr="000E0983">
        <w:rPr>
          <w:rFonts w:ascii="Times New Roman" w:hAnsi="Times New Roman" w:cs="Times New Roman"/>
          <w:sz w:val="24"/>
          <w:szCs w:val="24"/>
        </w:rPr>
        <w:t>:</w:t>
      </w:r>
      <w:r w:rsidR="000E0983">
        <w:rPr>
          <w:rFonts w:ascii="Times New Roman" w:hAnsi="Times New Roman" w:cs="Times New Roman"/>
          <w:sz w:val="24"/>
          <w:szCs w:val="24"/>
        </w:rPr>
        <w:t xml:space="preserve"> </w:t>
      </w:r>
      <w:r w:rsidRPr="000E0983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555D3" w:rsidRPr="000E0983" w:rsidRDefault="002555D3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8A4682" w:rsidP="000E098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:rsidR="001F171A" w:rsidRPr="000E0983" w:rsidRDefault="008A4682" w:rsidP="000E098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E0983"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:rsidR="001F171A" w:rsidRPr="000E0983" w:rsidRDefault="001F171A" w:rsidP="000E0983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1F171A" w:rsidP="000E09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Pr="000E0983" w:rsidRDefault="001F171A" w:rsidP="000E0983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Pr="000E0983" w:rsidRDefault="001F171A" w:rsidP="000E09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F171A" w:rsidRPr="000E0983" w:rsidSect="000E0983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83" w:rsidRDefault="00734483">
      <w:pPr>
        <w:spacing w:after="0" w:line="240" w:lineRule="auto"/>
      </w:pPr>
      <w:r>
        <w:separator/>
      </w:r>
    </w:p>
  </w:endnote>
  <w:endnote w:type="continuationSeparator" w:id="0">
    <w:p w:rsidR="00734483" w:rsidRDefault="0073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1A" w:rsidRDefault="008A4682" w:rsidP="000E0983">
    <w:r>
      <w:rPr>
        <w:noProof/>
        <w:lang w:val="en-IN" w:eastAsia="en-IN"/>
      </w:rPr>
      <w:drawing>
        <wp:inline distT="114300" distB="114300" distL="114300" distR="114300">
          <wp:extent cx="1647825" cy="6000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83" w:rsidRDefault="00734483">
      <w:pPr>
        <w:spacing w:after="0" w:line="240" w:lineRule="auto"/>
      </w:pPr>
      <w:r>
        <w:separator/>
      </w:r>
    </w:p>
  </w:footnote>
  <w:footnote w:type="continuationSeparator" w:id="0">
    <w:p w:rsidR="00734483" w:rsidRDefault="0073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3E8F"/>
    <w:multiLevelType w:val="hybridMultilevel"/>
    <w:tmpl w:val="9C2E3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B52EA"/>
    <w:multiLevelType w:val="multilevel"/>
    <w:tmpl w:val="2CC2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1A"/>
    <w:rsid w:val="000446C9"/>
    <w:rsid w:val="00066529"/>
    <w:rsid w:val="0006680B"/>
    <w:rsid w:val="00074E28"/>
    <w:rsid w:val="000A653D"/>
    <w:rsid w:val="000E0983"/>
    <w:rsid w:val="001F171A"/>
    <w:rsid w:val="001F77CC"/>
    <w:rsid w:val="00211174"/>
    <w:rsid w:val="00211AB7"/>
    <w:rsid w:val="00237093"/>
    <w:rsid w:val="002555D3"/>
    <w:rsid w:val="002D39FF"/>
    <w:rsid w:val="002F02A1"/>
    <w:rsid w:val="003318C4"/>
    <w:rsid w:val="00336B2F"/>
    <w:rsid w:val="00341791"/>
    <w:rsid w:val="003C6971"/>
    <w:rsid w:val="00450C16"/>
    <w:rsid w:val="0048167A"/>
    <w:rsid w:val="004944E4"/>
    <w:rsid w:val="004A2E12"/>
    <w:rsid w:val="004C0E5B"/>
    <w:rsid w:val="004C2D30"/>
    <w:rsid w:val="004F7081"/>
    <w:rsid w:val="00542CF8"/>
    <w:rsid w:val="0057035D"/>
    <w:rsid w:val="005B263E"/>
    <w:rsid w:val="006B4B51"/>
    <w:rsid w:val="0072603C"/>
    <w:rsid w:val="00734483"/>
    <w:rsid w:val="00755052"/>
    <w:rsid w:val="00763954"/>
    <w:rsid w:val="00782F6D"/>
    <w:rsid w:val="007B30D8"/>
    <w:rsid w:val="008A4682"/>
    <w:rsid w:val="008A5153"/>
    <w:rsid w:val="0091743B"/>
    <w:rsid w:val="0097024A"/>
    <w:rsid w:val="009D0F44"/>
    <w:rsid w:val="00A33F0F"/>
    <w:rsid w:val="00B60740"/>
    <w:rsid w:val="00C5042E"/>
    <w:rsid w:val="00CD57CB"/>
    <w:rsid w:val="00DD79D1"/>
    <w:rsid w:val="00E879DE"/>
    <w:rsid w:val="00F7579F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13"/>
  <w15:docId w15:val="{4272D5B7-ED93-41B6-A45B-E838D634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1112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D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8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8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ny5dGN9yY7yMkbpp4apSOU6JA==">AMUW2mURiGxSm7cgoW8a7VaRNE+ngzMfxOFkr/UI6tYBG/eWHrslwIvN45DA5Dgz9lVHQQj8/DtOHUE2N8X3Bq3UKy7luwWU2XM9rFN14v3ChUNnLH3/yXuUFDVEvdCJrtL4zIeYJEFZ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6</cp:revision>
  <dcterms:created xsi:type="dcterms:W3CDTF">2022-01-06T06:46:00Z</dcterms:created>
  <dcterms:modified xsi:type="dcterms:W3CDTF">2022-01-14T10:27:00Z</dcterms:modified>
</cp:coreProperties>
</file>