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22" w:rsidRDefault="00FF5EE7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14900" cy="101917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4022" w:rsidRDefault="00FF5EE7">
      <w:pPr>
        <w:jc w:val="center"/>
        <w:rPr>
          <w:b/>
        </w:rPr>
      </w:pPr>
      <w:r>
        <w:rPr>
          <w:b/>
        </w:rPr>
        <w:t>ACADEMIC – GRADUATE STUDIES AND RESEARCH DIVISION</w:t>
      </w:r>
    </w:p>
    <w:p w:rsidR="00344022" w:rsidRDefault="00FF5EE7">
      <w:pPr>
        <w:jc w:val="center"/>
        <w:rPr>
          <w:sz w:val="20"/>
          <w:szCs w:val="20"/>
        </w:rPr>
      </w:pPr>
      <w:r>
        <w:rPr>
          <w:b/>
        </w:rPr>
        <w:t xml:space="preserve"> BIRLA INSTITUTE OF TECHNOLOGY AND SCIENCE, PILANI-HYDERABAD CAMPUS</w:t>
      </w:r>
      <w:r>
        <w:rPr>
          <w:b/>
          <w:sz w:val="20"/>
          <w:szCs w:val="20"/>
        </w:rPr>
        <w:t xml:space="preserve">                   </w:t>
      </w:r>
    </w:p>
    <w:p w:rsidR="00344022" w:rsidRDefault="00FF5EE7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FIRST SEMESTER 2021-2022</w:t>
      </w:r>
    </w:p>
    <w:p w:rsidR="00344022" w:rsidRDefault="00FF5EE7">
      <w:pPr>
        <w:jc w:val="center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              </w:t>
      </w:r>
      <w:r>
        <w:rPr>
          <w:b/>
          <w:sz w:val="20"/>
          <w:szCs w:val="20"/>
          <w:u w:val="single"/>
        </w:rPr>
        <w:t>Course Handout Part II</w:t>
      </w:r>
    </w:p>
    <w:p w:rsidR="00344022" w:rsidRDefault="00FF5EE7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</w:t>
      </w:r>
      <w:r>
        <w:rPr>
          <w:b/>
          <w:sz w:val="20"/>
          <w:szCs w:val="20"/>
        </w:rPr>
        <w:t>Date: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12/08/2021</w:t>
      </w:r>
    </w:p>
    <w:p w:rsidR="00344022" w:rsidRDefault="00FF5EE7">
      <w:pPr>
        <w:jc w:val="right"/>
      </w:pPr>
      <w:r>
        <w:t xml:space="preserve"> </w:t>
      </w:r>
    </w:p>
    <w:p w:rsidR="00344022" w:rsidRDefault="00FF5E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344022" w:rsidRDefault="00FF5EE7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rPr>
          <w:b/>
        </w:rPr>
        <w:t>CE G553</w:t>
      </w:r>
    </w:p>
    <w:p w:rsidR="00344022" w:rsidRDefault="00FF5EE7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</w:t>
      </w:r>
      <w:r>
        <w:rPr>
          <w:i w:val="0"/>
        </w:rPr>
        <w:t xml:space="preserve"> </w:t>
      </w:r>
      <w:r>
        <w:t>Theory of Plates and Shells</w:t>
      </w:r>
    </w:p>
    <w:p w:rsidR="00344022" w:rsidRDefault="00FF5EE7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 </w:t>
      </w:r>
      <w:proofErr w:type="spellStart"/>
      <w:r>
        <w:rPr>
          <w:i w:val="0"/>
        </w:rPr>
        <w:t>Chandu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Parimi</w:t>
      </w:r>
      <w:proofErr w:type="spellEnd"/>
    </w:p>
    <w:p w:rsidR="00B6061A" w:rsidRDefault="00B6061A">
      <w:pPr>
        <w:rPr>
          <w:b/>
        </w:rPr>
      </w:pPr>
    </w:p>
    <w:p w:rsidR="0042709F" w:rsidRDefault="0042709F" w:rsidP="0042709F">
      <w:pPr>
        <w:jc w:val="both"/>
        <w:rPr>
          <w:b/>
        </w:rPr>
      </w:pPr>
      <w:bookmarkStart w:id="0" w:name="_GoBack"/>
      <w:r>
        <w:rPr>
          <w:b/>
        </w:rPr>
        <w:t xml:space="preserve">Description : </w:t>
      </w:r>
      <w:r>
        <w:t xml:space="preserve">Different kinds of plates such as rectangular, circular, and elliptical; Different kinds of shell structures such as shell of revolution: spherical shells, cylindrical shells and special shell structures; Principles and applications of </w:t>
      </w:r>
      <w:r>
        <w:t>bending of plates, membrane the</w:t>
      </w:r>
      <w:r>
        <w:t xml:space="preserve">ory, bending of shells, and stability of plates and shells; </w:t>
      </w:r>
      <w:proofErr w:type="spellStart"/>
      <w:r>
        <w:t>Kirchoff</w:t>
      </w:r>
      <w:proofErr w:type="spellEnd"/>
      <w:r>
        <w:t xml:space="preserve"> theory, </w:t>
      </w:r>
      <w:proofErr w:type="spellStart"/>
      <w:r>
        <w:t>Reissner-Mindlin-Naghadi</w:t>
      </w:r>
      <w:proofErr w:type="spellEnd"/>
      <w:r>
        <w:t xml:space="preserve"> type theories, rectangular plates-solution by double Fourier series, membrane theory of shells, and case study on plates and shells using numerical tools.</w:t>
      </w:r>
    </w:p>
    <w:bookmarkEnd w:id="0"/>
    <w:p w:rsidR="0042709F" w:rsidRDefault="0042709F">
      <w:pPr>
        <w:rPr>
          <w:b/>
        </w:rPr>
      </w:pPr>
    </w:p>
    <w:p w:rsidR="0042709F" w:rsidRDefault="0042709F">
      <w:pPr>
        <w:rPr>
          <w:b/>
        </w:rPr>
      </w:pPr>
    </w:p>
    <w:p w:rsidR="00344022" w:rsidRDefault="00FF5EE7">
      <w:pPr>
        <w:rPr>
          <w:b/>
        </w:rPr>
      </w:pPr>
      <w:r>
        <w:rPr>
          <w:b/>
        </w:rPr>
        <w:t>Scope and Objective of the Course:</w:t>
      </w:r>
    </w:p>
    <w:p w:rsidR="00344022" w:rsidRDefault="00FF5EE7">
      <w:pPr>
        <w:jc w:val="both"/>
      </w:pPr>
      <w:r>
        <w:t xml:space="preserve">The understanding of the analysis procedures and theory of plates and shells is required for accurately designing such structures. Plates act similar to </w:t>
      </w:r>
      <w:r>
        <w:t>beams with bending and shear stresses, whereas shells are analogous to a cable which resists loads through tensile stresses. Typical applications of plates are slabs in buildings, plates in tanks and so on. A primary difference between a shell structure an</w:t>
      </w:r>
      <w:r>
        <w:t>d a plate structure is that, in the unstressed state, the shell structure has curvature as opposed to plated structure which is flat. Membrane action in a shell is primarily caused by in-plane forces, though there may be secondary forces resulting from fle</w:t>
      </w:r>
      <w:r>
        <w:t xml:space="preserve">xural deformations. Typical applications of shells are fuselages of </w:t>
      </w:r>
      <w:proofErr w:type="spellStart"/>
      <w:r>
        <w:t>aeroplanes</w:t>
      </w:r>
      <w:proofErr w:type="spellEnd"/>
      <w:r>
        <w:t xml:space="preserve">, containment shells, mechanical and automobile parts, and roof structures. </w:t>
      </w:r>
    </w:p>
    <w:p w:rsidR="00344022" w:rsidRDefault="00FF5EE7">
      <w:pPr>
        <w:jc w:val="both"/>
      </w:pPr>
      <w:r>
        <w:t>This course introduces theory, design, and stability analysis of plates and shells. The course is aim</w:t>
      </w:r>
      <w:r>
        <w:t xml:space="preserve">ed at providing students with advanced knowledge of principles and applications of bending of plates, membrane theory and bending of shells, and stability of plates and shells. </w:t>
      </w:r>
    </w:p>
    <w:p w:rsidR="00344022" w:rsidRDefault="00FF5EE7">
      <w:pPr>
        <w:rPr>
          <w:u w:val="single"/>
        </w:rPr>
      </w:pPr>
      <w:r>
        <w:rPr>
          <w:u w:val="single"/>
        </w:rPr>
        <w:t>Learning Objectives –</w:t>
      </w:r>
    </w:p>
    <w:p w:rsidR="00344022" w:rsidRDefault="00FF5EE7">
      <w:r>
        <w:t xml:space="preserve">Students who finish this course should be </w:t>
      </w:r>
    </w:p>
    <w:p w:rsidR="00344022" w:rsidRDefault="00FF5EE7">
      <w:pPr>
        <w:numPr>
          <w:ilvl w:val="0"/>
          <w:numId w:val="1"/>
        </w:numPr>
      </w:pPr>
      <w:r>
        <w:t>able to deriv</w:t>
      </w:r>
      <w:r>
        <w:t>e various expressions for bending of thin plates</w:t>
      </w:r>
    </w:p>
    <w:p w:rsidR="00344022" w:rsidRDefault="00FF5EE7">
      <w:pPr>
        <w:numPr>
          <w:ilvl w:val="0"/>
          <w:numId w:val="1"/>
        </w:numPr>
      </w:pPr>
      <w:r>
        <w:rPr>
          <w:sz w:val="22"/>
          <w:szCs w:val="22"/>
        </w:rPr>
        <w:t xml:space="preserve">able to list assumptions for thick plates </w:t>
      </w:r>
    </w:p>
    <w:p w:rsidR="00344022" w:rsidRDefault="00FF5EE7">
      <w:pPr>
        <w:numPr>
          <w:ilvl w:val="0"/>
          <w:numId w:val="1"/>
        </w:numPr>
      </w:pPr>
      <w:r>
        <w:rPr>
          <w:sz w:val="22"/>
          <w:szCs w:val="22"/>
        </w:rPr>
        <w:t xml:space="preserve">able to calculate buckling loads for plates and understand post buckling </w:t>
      </w:r>
      <w:proofErr w:type="spellStart"/>
      <w:r>
        <w:rPr>
          <w:sz w:val="22"/>
          <w:szCs w:val="22"/>
        </w:rPr>
        <w:t>behaviour</w:t>
      </w:r>
      <w:proofErr w:type="spellEnd"/>
      <w:r>
        <w:rPr>
          <w:sz w:val="22"/>
          <w:szCs w:val="22"/>
        </w:rPr>
        <w:t xml:space="preserve"> </w:t>
      </w:r>
    </w:p>
    <w:p w:rsidR="00344022" w:rsidRDefault="00FF5EE7">
      <w:pPr>
        <w:numPr>
          <w:ilvl w:val="0"/>
          <w:numId w:val="1"/>
        </w:numPr>
      </w:pPr>
      <w:r>
        <w:rPr>
          <w:sz w:val="22"/>
          <w:szCs w:val="22"/>
        </w:rPr>
        <w:t xml:space="preserve">able to derive expressions for simple shells </w:t>
      </w:r>
    </w:p>
    <w:p w:rsidR="00344022" w:rsidRDefault="00344022"/>
    <w:p w:rsidR="00344022" w:rsidRDefault="00FF5EE7">
      <w:pPr>
        <w:pBdr>
          <w:top w:val="nil"/>
          <w:left w:val="nil"/>
          <w:bottom w:val="nil"/>
          <w:right w:val="nil"/>
          <w:between w:val="nil"/>
        </w:pBdr>
        <w:spacing w:before="12"/>
        <w:ind w:left="720"/>
        <w:rPr>
          <w:b/>
          <w:color w:val="000000"/>
        </w:rPr>
      </w:pPr>
      <w:r>
        <w:rPr>
          <w:color w:val="000000"/>
        </w:rPr>
        <w:t>Student Learning Outcomes (SLOs) assessed in this course –</w:t>
      </w:r>
      <w:r>
        <w:rPr>
          <w:b/>
          <w:color w:val="000000"/>
        </w:rPr>
        <w:t xml:space="preserve"> (a), (g), (</w:t>
      </w:r>
      <w:proofErr w:type="spellStart"/>
      <w:r>
        <w:rPr>
          <w:b/>
          <w:color w:val="000000"/>
        </w:rPr>
        <w:t>i</w:t>
      </w:r>
      <w:proofErr w:type="spellEnd"/>
      <w:r>
        <w:rPr>
          <w:b/>
          <w:color w:val="000000"/>
        </w:rPr>
        <w:t>) and (e).</w:t>
      </w:r>
    </w:p>
    <w:p w:rsidR="00344022" w:rsidRDefault="003440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</w:p>
    <w:p w:rsidR="00344022" w:rsidRDefault="00FF5EE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Textbook:</w:t>
      </w:r>
    </w:p>
    <w:p w:rsidR="00344022" w:rsidRDefault="00FF5E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Timoshenko, S.P. and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Kreiger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, S.W., Theory of plates and shells, McGraw-Hill, 2nd ed., 2010</w:t>
      </w:r>
    </w:p>
    <w:p w:rsidR="00344022" w:rsidRDefault="0034402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</w:p>
    <w:p w:rsidR="00344022" w:rsidRDefault="00FF5EE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Reference Books</w:t>
      </w:r>
      <w:r>
        <w:rPr>
          <w:b/>
          <w:i/>
          <w:color w:val="000000"/>
        </w:rPr>
        <w:t>:</w:t>
      </w:r>
      <w:r>
        <w:rPr>
          <w:b/>
          <w:color w:val="000000"/>
        </w:rPr>
        <w:t xml:space="preserve"> </w:t>
      </w:r>
    </w:p>
    <w:p w:rsidR="00344022" w:rsidRDefault="00FF5EE7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Gould, P.L., Analysis of shells and plates, Springer </w:t>
      </w:r>
      <w:proofErr w:type="spellStart"/>
      <w:r>
        <w:rPr>
          <w:rFonts w:ascii="Arial" w:eastAsia="Arial" w:hAnsi="Arial" w:cs="Arial"/>
          <w:sz w:val="18"/>
          <w:szCs w:val="18"/>
        </w:rPr>
        <w:t>Verlag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1988 </w:t>
      </w:r>
    </w:p>
    <w:p w:rsidR="00344022" w:rsidRDefault="00FF5EE7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Reddy, J.N., Theory and analysis of elastic plates and shells, 2nd ed., 2007</w:t>
      </w:r>
    </w:p>
    <w:p w:rsidR="00344022" w:rsidRDefault="00FF5EE7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Dayaratnam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P., Design of Reinforced Concrete structures, Oxford and </w:t>
      </w:r>
      <w:proofErr w:type="spellStart"/>
      <w:r>
        <w:rPr>
          <w:rFonts w:ascii="Arial" w:eastAsia="Arial" w:hAnsi="Arial" w:cs="Arial"/>
          <w:sz w:val="18"/>
          <w:szCs w:val="18"/>
        </w:rPr>
        <w:t>lBH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Publications, 1983, </w:t>
      </w:r>
    </w:p>
    <w:p w:rsidR="00344022" w:rsidRDefault="00FF5EE7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Ramawamy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G.S., Design and Construction of concrete Shell Roofs, McGraw-Hill, 1968. </w:t>
      </w:r>
    </w:p>
    <w:p w:rsidR="00344022" w:rsidRDefault="00FF5EE7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S. P. Timoshenko and J. Gere, Theory of Elastic Stability, Tata McGraw Hill Education private limited, 2010</w:t>
      </w:r>
    </w:p>
    <w:p w:rsidR="00344022" w:rsidRDefault="00FF5EE7">
      <w:pPr>
        <w:jc w:val="both"/>
        <w:rPr>
          <w:b/>
        </w:rPr>
      </w:pPr>
      <w:r>
        <w:rPr>
          <w:b/>
        </w:rPr>
        <w:t>Course Plan:</w:t>
      </w:r>
    </w:p>
    <w:tbl>
      <w:tblPr>
        <w:tblStyle w:val="a"/>
        <w:tblW w:w="1080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  <w:gridCol w:w="1530"/>
      </w:tblGrid>
      <w:tr w:rsidR="00344022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44022" w:rsidRDefault="00FF5EE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44022" w:rsidRDefault="00FF5EE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44022" w:rsidRDefault="00FF5EE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</w:t>
            </w:r>
            <w:r>
              <w:rPr>
                <w:b/>
                <w:sz w:val="22"/>
                <w:szCs w:val="22"/>
              </w:rPr>
              <w:t>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44022" w:rsidRDefault="00FF5EE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344022" w:rsidRDefault="00FF5EE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SLO*</w:t>
            </w:r>
          </w:p>
        </w:tc>
      </w:tr>
      <w:tr w:rsidR="0034402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definition of a plate and a shell and their applications to structural engineering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Introduction to the analysis of plates and shells structure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Class notes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(a)</w:t>
            </w:r>
          </w:p>
        </w:tc>
      </w:tr>
      <w:tr w:rsidR="0034402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derive equations for Kirchhoff plates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Bending theory of flat Plates:</w:t>
            </w:r>
          </w:p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thin plates: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Kirchhoff theory – strain-displacement relations, constitutive equations, equilibrium equations, boundary conditions, derivation of theory from principle of virtual work,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344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:rsidR="00344022" w:rsidRDefault="00FF5E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(a)</w:t>
            </w:r>
          </w:p>
        </w:tc>
      </w:tr>
      <w:tr w:rsidR="0034402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solve rectangular plates with Fourier series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Rectangular plates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-solution by double Fourier series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(a)</w:t>
            </w:r>
          </w:p>
        </w:tc>
      </w:tr>
      <w:tr w:rsidR="00344022">
        <w:trPr>
          <w:trHeight w:val="1205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derive expressions for circular plates</w:t>
            </w:r>
          </w:p>
          <w:p w:rsidR="00344022" w:rsidRDefault="003440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Circular plates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(a),(e)</w:t>
            </w:r>
          </w:p>
        </w:tc>
      </w:tr>
      <w:tr w:rsidR="00344022">
        <w:trPr>
          <w:trHeight w:val="80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understand edge effects in plates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Edge effects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(a)</w:t>
            </w:r>
          </w:p>
        </w:tc>
      </w:tr>
      <w:tr w:rsidR="00344022">
        <w:trPr>
          <w:trHeight w:val="93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understand behavior of anisotropic plates </w:t>
            </w:r>
          </w:p>
          <w:p w:rsidR="00344022" w:rsidRDefault="0034402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Anisotropic and layered plates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(a)</w:t>
            </w:r>
          </w:p>
        </w:tc>
      </w:tr>
      <w:tr w:rsidR="00344022">
        <w:trPr>
          <w:trHeight w:val="1173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the basic assumptions for thick plate theories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Thick plates: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Introductions to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Reissner-Mindlin-Naghadi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type theories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Class notes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(a),(e)</w:t>
            </w:r>
          </w:p>
        </w:tc>
      </w:tr>
      <w:tr w:rsidR="00344022">
        <w:trPr>
          <w:trHeight w:val="808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solve problems with plates on elastic foundations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Plates on elastic foundation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(a),(e)</w:t>
            </w:r>
          </w:p>
        </w:tc>
      </w:tr>
      <w:tr w:rsidR="0034402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calculate buckling in plates and understand post buckling </w:t>
            </w:r>
            <w:proofErr w:type="spellStart"/>
            <w:r>
              <w:rPr>
                <w:sz w:val="20"/>
                <w:szCs w:val="20"/>
              </w:rPr>
              <w:t>behaviour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Buckling of plates, Moderate deflection analysis and buckling of plates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R5, 12,13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(a)</w:t>
            </w:r>
          </w:p>
        </w:tc>
      </w:tr>
      <w:tr w:rsidR="0034402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derive expressions for shells with axisymmetric loading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Membrane theory of shells: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equilibrium equations, Application to shells of revolution under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axi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-symmetric loads, Applications to cylindrical shells under asymmetric loads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14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(a),(e)</w:t>
            </w:r>
          </w:p>
        </w:tc>
      </w:tr>
      <w:tr w:rsidR="00344022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35-43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022" w:rsidRDefault="00FF5E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derive bending of cylindrical shells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Bending theory of shells: </w:t>
            </w:r>
          </w:p>
          <w:p w:rsidR="00344022" w:rsidRDefault="00FF5E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kinetic assumptions and strain displacement relations, cylindrical shell under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axi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-symmetric loads, bending of cylindrical shells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15,16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(a),(e) </w:t>
            </w:r>
          </w:p>
        </w:tc>
      </w:tr>
    </w:tbl>
    <w:p w:rsidR="00344022" w:rsidRDefault="00344022">
      <w:pPr>
        <w:jc w:val="both"/>
      </w:pPr>
    </w:p>
    <w:p w:rsidR="00344022" w:rsidRDefault="00344022">
      <w:pPr>
        <w:jc w:val="both"/>
      </w:pPr>
    </w:p>
    <w:p w:rsidR="00344022" w:rsidRDefault="00FF5EE7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>*Student Learning Outcomes (SLOs):</w:t>
      </w:r>
    </w:p>
    <w:p w:rsidR="00344022" w:rsidRDefault="00FF5EE7">
      <w:pPr>
        <w:rPr>
          <w:sz w:val="20"/>
          <w:szCs w:val="20"/>
        </w:rPr>
      </w:pPr>
      <w:r>
        <w:rPr>
          <w:sz w:val="20"/>
          <w:szCs w:val="20"/>
        </w:rPr>
        <w:t>SLOs are outcomes (a) through (k) plus any additional outcomes that may be articulated by the program.</w:t>
      </w:r>
    </w:p>
    <w:p w:rsidR="00344022" w:rsidRDefault="00FF5EE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apply knowledge of mathematics, science and engineering</w:t>
      </w:r>
    </w:p>
    <w:p w:rsidR="00344022" w:rsidRDefault="00FF5EE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design and conduct experiments, as well as to analyze and interpret d</w:t>
      </w:r>
      <w:r>
        <w:rPr>
          <w:sz w:val="20"/>
          <w:szCs w:val="20"/>
        </w:rPr>
        <w:t>ata</w:t>
      </w:r>
    </w:p>
    <w:p w:rsidR="00344022" w:rsidRDefault="00FF5EE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344022" w:rsidRDefault="00FF5EE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function on mult</w:t>
      </w:r>
      <w:r>
        <w:rPr>
          <w:sz w:val="20"/>
          <w:szCs w:val="20"/>
        </w:rPr>
        <w:t>idisciplinary teams</w:t>
      </w:r>
    </w:p>
    <w:p w:rsidR="00344022" w:rsidRDefault="00FF5EE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identify, formulate, and solve engineering problems</w:t>
      </w:r>
    </w:p>
    <w:p w:rsidR="00344022" w:rsidRDefault="00FF5EE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understanding of professional and ethical responsibility</w:t>
      </w:r>
    </w:p>
    <w:p w:rsidR="00344022" w:rsidRDefault="00FF5EE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an ability to communicate effectively </w:t>
      </w:r>
    </w:p>
    <w:p w:rsidR="00344022" w:rsidRDefault="00FF5EE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broad education necessary to understand the impact of engineering s</w:t>
      </w:r>
      <w:r>
        <w:rPr>
          <w:sz w:val="20"/>
          <w:szCs w:val="20"/>
        </w:rPr>
        <w:t>olutions in a global, economic, environmental, and societal context</w:t>
      </w:r>
    </w:p>
    <w:p w:rsidR="00344022" w:rsidRDefault="00FF5EE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 recognition of the need for, and an ability to engage in life-long learning</w:t>
      </w:r>
    </w:p>
    <w:p w:rsidR="00344022" w:rsidRDefault="00FF5EE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 knowledge of contemporary issues</w:t>
      </w:r>
    </w:p>
    <w:p w:rsidR="00344022" w:rsidRDefault="00FF5EE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use the techniques, skills, and modern engineering tools nece</w:t>
      </w:r>
      <w:r>
        <w:rPr>
          <w:sz w:val="20"/>
          <w:szCs w:val="20"/>
        </w:rPr>
        <w:t>ssary for engineering practice.</w:t>
      </w:r>
    </w:p>
    <w:p w:rsidR="00344022" w:rsidRDefault="00344022">
      <w:pPr>
        <w:jc w:val="both"/>
      </w:pPr>
    </w:p>
    <w:p w:rsidR="00344022" w:rsidRDefault="00FF5EE7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344022">
        <w:trPr>
          <w:trHeight w:val="422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44022" w:rsidRDefault="00FF5EE7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44022" w:rsidRDefault="00FF5EE7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44022" w:rsidRDefault="00FF5EE7">
            <w:pPr>
              <w:jc w:val="center"/>
              <w:rPr>
                <w:b/>
              </w:rPr>
            </w:pPr>
            <w:bookmarkStart w:id="1" w:name="_heading=h.gjdgxs" w:colFirst="0" w:colLast="0"/>
            <w:bookmarkEnd w:id="1"/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44022" w:rsidRDefault="00FF5EE7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44022" w:rsidRDefault="00FF5EE7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344022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22" w:rsidRDefault="00FF5EE7">
            <w:pPr>
              <w:jc w:val="center"/>
            </w:pPr>
            <w:r>
              <w:t xml:space="preserve">Assignments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22" w:rsidRDefault="00FF5EE7">
            <w:pPr>
              <w:jc w:val="center"/>
            </w:pPr>
            <w: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22" w:rsidRDefault="00FF5EE7">
            <w:pPr>
              <w:jc w:val="center"/>
            </w:pPr>
            <w:r>
              <w:t>15%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22" w:rsidRDefault="00FF5EE7">
            <w:pPr>
              <w:jc w:val="center"/>
            </w:pPr>
            <w:r>
              <w:t>Continuous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  <w:t>OB</w:t>
            </w:r>
          </w:p>
        </w:tc>
      </w:tr>
      <w:tr w:rsidR="00344022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22" w:rsidRDefault="00FF5EE7">
            <w:pPr>
              <w:jc w:val="center"/>
            </w:pPr>
            <w:r>
              <w:t>Project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22" w:rsidRDefault="00FF5EE7">
            <w:pPr>
              <w:jc w:val="center"/>
            </w:pPr>
            <w: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22" w:rsidRDefault="00FF5EE7">
            <w:pPr>
              <w:jc w:val="center"/>
            </w:pPr>
            <w:r>
              <w:t>25%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22" w:rsidRDefault="00FF5EE7">
            <w:pPr>
              <w:jc w:val="center"/>
            </w:pPr>
            <w:r>
              <w:t>Continuous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  <w:t>OB</w:t>
            </w:r>
          </w:p>
        </w:tc>
      </w:tr>
      <w:tr w:rsidR="00344022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22" w:rsidRDefault="00FF5EE7">
            <w:pPr>
              <w:jc w:val="center"/>
            </w:pPr>
            <w:proofErr w:type="spellStart"/>
            <w:r>
              <w:t>Midsemester</w:t>
            </w:r>
            <w:proofErr w:type="spellEnd"/>
            <w:r>
              <w:t xml:space="preserve"> Test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22" w:rsidRDefault="00FF5EE7">
            <w:pPr>
              <w:jc w:val="center"/>
            </w:pPr>
            <w:r>
              <w:t>90 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22" w:rsidRDefault="00FF5EE7">
            <w:pPr>
              <w:jc w:val="center"/>
            </w:pPr>
            <w:r>
              <w:t>25%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22" w:rsidRDefault="00FF5EE7">
            <w:pPr>
              <w:jc w:val="center"/>
            </w:pPr>
            <w:r>
              <w:t xml:space="preserve">TBA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  <w:t>OB</w:t>
            </w:r>
          </w:p>
        </w:tc>
      </w:tr>
      <w:tr w:rsidR="00344022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22" w:rsidRDefault="00FF5EE7">
            <w:pPr>
              <w:jc w:val="center"/>
            </w:pPr>
            <w:r>
              <w:t>Comprehensive Exam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22" w:rsidRDefault="00FF5EE7">
            <w:pPr>
              <w:jc w:val="center"/>
            </w:pPr>
            <w:r>
              <w:t>120 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22" w:rsidRDefault="00FF5EE7">
            <w:pPr>
              <w:jc w:val="center"/>
            </w:pPr>
            <w:r>
              <w:t>35%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022" w:rsidRDefault="00FF5EE7">
            <w:pPr>
              <w:jc w:val="center"/>
            </w:pPr>
            <w:r>
              <w:t>17/12 AN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022" w:rsidRDefault="00FF5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000000"/>
                <w:sz w:val="17"/>
                <w:szCs w:val="17"/>
              </w:rPr>
              <w:t xml:space="preserve">OB </w:t>
            </w:r>
          </w:p>
        </w:tc>
      </w:tr>
    </w:tbl>
    <w:p w:rsidR="00344022" w:rsidRDefault="00FF5EE7">
      <w:pPr>
        <w:jc w:val="both"/>
      </w:pPr>
      <w:r>
        <w:rPr>
          <w:b/>
        </w:rPr>
        <w:t>Online Consultation Hour:</w:t>
      </w:r>
      <w:r>
        <w:t xml:space="preserve">  Will be announced in class</w:t>
      </w:r>
    </w:p>
    <w:p w:rsidR="00344022" w:rsidRDefault="00FF5EE7">
      <w:pPr>
        <w:jc w:val="both"/>
      </w:pPr>
      <w:r>
        <w:rPr>
          <w:b/>
        </w:rPr>
        <w:t>Notices:</w:t>
      </w:r>
      <w:r>
        <w:t xml:space="preserve"> Will be posted in Google Classroom</w:t>
      </w:r>
    </w:p>
    <w:p w:rsidR="00344022" w:rsidRDefault="00FF5EE7">
      <w:pPr>
        <w:jc w:val="both"/>
      </w:pPr>
      <w:r>
        <w:rPr>
          <w:b/>
        </w:rPr>
        <w:t xml:space="preserve">Make-up Policy: </w:t>
      </w:r>
      <w:r>
        <w:t>Make-up will be granted only to genuine cases with prior permission from the IC.  Make ups will not be given to students who con</w:t>
      </w:r>
      <w:r>
        <w:t>tact the IC after the evaluation component.</w:t>
      </w:r>
    </w:p>
    <w:p w:rsidR="00344022" w:rsidRDefault="00FF5EE7">
      <w:pPr>
        <w:jc w:val="both"/>
      </w:pPr>
      <w:r>
        <w:rPr>
          <w:b/>
        </w:rPr>
        <w:t>Academic Honesty and Integrity Policy:</w:t>
      </w:r>
      <w:r>
        <w:t xml:space="preserve"> Academic honesty and integrity are to be maintained by all the students throughout the semester and no type of academic dishonesty is acceptable.</w:t>
      </w:r>
    </w:p>
    <w:p w:rsidR="00344022" w:rsidRDefault="00344022">
      <w:pPr>
        <w:jc w:val="right"/>
      </w:pPr>
    </w:p>
    <w:p w:rsidR="00344022" w:rsidRDefault="00FF5EE7">
      <w:pPr>
        <w:jc w:val="right"/>
        <w:rPr>
          <w:b/>
        </w:rPr>
      </w:pPr>
      <w:r>
        <w:rPr>
          <w:b/>
        </w:rPr>
        <w:t xml:space="preserve">    </w:t>
      </w:r>
    </w:p>
    <w:p w:rsidR="00344022" w:rsidRDefault="00FF5EE7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b/>
        </w:rPr>
        <w:t>Chandu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Parimi</w:t>
      </w:r>
      <w:proofErr w:type="spellEnd"/>
      <w:r>
        <w:rPr>
          <w:b/>
        </w:rPr>
        <w:t xml:space="preserve">     </w:t>
      </w:r>
    </w:p>
    <w:p w:rsidR="00344022" w:rsidRDefault="00FF5EE7">
      <w:pPr>
        <w:jc w:val="right"/>
        <w:rPr>
          <w:b/>
        </w:rPr>
      </w:pPr>
      <w:r>
        <w:rPr>
          <w:b/>
        </w:rPr>
        <w:t xml:space="preserve"> INSTRUCTOR-IN-CHARGE</w:t>
      </w:r>
    </w:p>
    <w:p w:rsidR="00344022" w:rsidRDefault="00FF5EE7">
      <w:pPr>
        <w:jc w:val="right"/>
        <w:rPr>
          <w:b/>
        </w:rPr>
      </w:pPr>
      <w:r>
        <w:rPr>
          <w:b/>
        </w:rPr>
        <w:t>CE G553</w:t>
      </w:r>
    </w:p>
    <w:sectPr w:rsidR="0034402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EE7" w:rsidRDefault="00FF5EE7">
      <w:r>
        <w:separator/>
      </w:r>
    </w:p>
  </w:endnote>
  <w:endnote w:type="continuationSeparator" w:id="0">
    <w:p w:rsidR="00FF5EE7" w:rsidRDefault="00FF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022" w:rsidRDefault="00FF5E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4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EE7" w:rsidRDefault="00FF5EE7">
      <w:r>
        <w:separator/>
      </w:r>
    </w:p>
  </w:footnote>
  <w:footnote w:type="continuationSeparator" w:id="0">
    <w:p w:rsidR="00FF5EE7" w:rsidRDefault="00FF5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022" w:rsidRDefault="003440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66DA3"/>
    <w:multiLevelType w:val="multilevel"/>
    <w:tmpl w:val="BFC0BC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B500B"/>
    <w:multiLevelType w:val="multilevel"/>
    <w:tmpl w:val="EC08A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41AC5"/>
    <w:multiLevelType w:val="multilevel"/>
    <w:tmpl w:val="7F88E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42435"/>
    <w:multiLevelType w:val="multilevel"/>
    <w:tmpl w:val="95CE8EA8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22"/>
    <w:rsid w:val="00344022"/>
    <w:rsid w:val="0042709F"/>
    <w:rsid w:val="00B6061A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870A"/>
  <w15:docId w15:val="{13686C93-C1B6-48C7-97C8-FC751993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E6874"/>
    <w:pPr>
      <w:ind w:left="720"/>
      <w:contextualSpacing/>
    </w:pPr>
  </w:style>
  <w:style w:type="paragraph" w:customStyle="1" w:styleId="Default">
    <w:name w:val="Default"/>
    <w:rsid w:val="00197F61"/>
    <w:pPr>
      <w:autoSpaceDE w:val="0"/>
      <w:autoSpaceDN w:val="0"/>
      <w:adjustRightInd w:val="0"/>
    </w:pPr>
    <w:rPr>
      <w:color w:val="000000"/>
    </w:rPr>
  </w:style>
  <w:style w:type="paragraph" w:styleId="Subtitle">
    <w:name w:val="Subtitle"/>
    <w:basedOn w:val="Normal"/>
    <w:next w:val="Normal"/>
    <w:link w:val="SubtitleChar"/>
    <w:pPr>
      <w:spacing w:after="60"/>
      <w:jc w:val="center"/>
    </w:pPr>
    <w:rPr>
      <w:rFonts w:ascii="Arial" w:eastAsia="Arial" w:hAnsi="Arial" w:cs="Arial"/>
      <w:color w:val="000000"/>
    </w:rPr>
  </w:style>
  <w:style w:type="character" w:customStyle="1" w:styleId="SubtitleChar">
    <w:name w:val="Subtitle Char"/>
    <w:basedOn w:val="DefaultParagraphFont"/>
    <w:link w:val="Subtitle"/>
    <w:rsid w:val="008730FA"/>
    <w:rPr>
      <w:rFonts w:ascii="Arial" w:eastAsia="Arial" w:hAnsi="Arial" w:cs="Arial"/>
      <w:color w:val="000000"/>
      <w:sz w:val="24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cFJhU3kHUn+gP3CAwBl2x4LsCw==">AMUW2mVzBea3wCXY3CgbETZZGAQICWI6w59bCU/Oo3RLFM84ZdPG6SGimVozcjxikNewzH2DMAhDA3rpEX20vl1T5erSuPPEgdWN5Scc4INPhjQpNsnsPpGTNML3UwPKcHf2mdEvvMVX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1043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BITS</cp:lastModifiedBy>
  <cp:revision>3</cp:revision>
  <dcterms:created xsi:type="dcterms:W3CDTF">2021-08-05T06:39:00Z</dcterms:created>
  <dcterms:modified xsi:type="dcterms:W3CDTF">2021-08-12T07:17:00Z</dcterms:modified>
</cp:coreProperties>
</file>