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96E1CE6" w:rsidR="00AD25E1" w:rsidRDefault="00B72B19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318EC99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304112">
        <w:t>20</w:t>
      </w:r>
      <w:r w:rsidR="00B72B19">
        <w:t>-08-2021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6987D24F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615263">
        <w:t>GS F221</w:t>
      </w:r>
      <w:r>
        <w:rPr>
          <w:i/>
          <w:iCs/>
        </w:rPr>
        <w:t xml:space="preserve"> </w:t>
      </w:r>
    </w:p>
    <w:p w14:paraId="13AA27C3" w14:textId="6C2AF26B" w:rsidR="00AD25E1" w:rsidRPr="00615263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15263" w:rsidRPr="00615263">
        <w:rPr>
          <w:i w:val="0"/>
        </w:rPr>
        <w:t>Business Communication</w:t>
      </w:r>
    </w:p>
    <w:p w14:paraId="347F9837" w14:textId="20578616" w:rsidR="00615263" w:rsidRPr="00406370" w:rsidRDefault="00AD25E1" w:rsidP="0061526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615263">
        <w:rPr>
          <w:rFonts w:ascii="Times New Roman" w:hAnsi="Times New Roman"/>
          <w:i/>
          <w:sz w:val="24"/>
          <w:szCs w:val="24"/>
        </w:rPr>
        <w:t>Instructor-in-Charge</w:t>
      </w:r>
      <w:r>
        <w:tab/>
      </w:r>
      <w:proofErr w:type="gramStart"/>
      <w:r>
        <w:tab/>
        <w:t>:</w:t>
      </w:r>
      <w:r w:rsidR="00615263" w:rsidRPr="00406370">
        <w:rPr>
          <w:rFonts w:ascii="Times New Roman" w:hAnsi="Times New Roman"/>
          <w:sz w:val="24"/>
          <w:szCs w:val="24"/>
        </w:rPr>
        <w:t>Dr.</w:t>
      </w:r>
      <w:proofErr w:type="gramEnd"/>
      <w:r w:rsidR="00615263" w:rsidRPr="004063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5263" w:rsidRPr="00406370">
        <w:rPr>
          <w:rFonts w:ascii="Times New Roman" w:hAnsi="Times New Roman"/>
          <w:sz w:val="24"/>
          <w:szCs w:val="24"/>
        </w:rPr>
        <w:t>Aruna</w:t>
      </w:r>
      <w:proofErr w:type="spellEnd"/>
      <w:r w:rsidR="00615263" w:rsidRPr="004063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5263" w:rsidRPr="00406370">
        <w:rPr>
          <w:rFonts w:ascii="Times New Roman" w:hAnsi="Times New Roman"/>
          <w:sz w:val="24"/>
          <w:szCs w:val="24"/>
        </w:rPr>
        <w:t>Lolla</w:t>
      </w:r>
      <w:proofErr w:type="spellEnd"/>
    </w:p>
    <w:p w14:paraId="01C40DA7" w14:textId="77777777" w:rsidR="00AD25E1" w:rsidRDefault="00AD25E1">
      <w:pPr>
        <w:pStyle w:val="Heading2"/>
        <w:rPr>
          <w:i w:val="0"/>
          <w:iCs w:val="0"/>
        </w:rPr>
      </w:pPr>
    </w:p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2E644135" w14:textId="76773DC5" w:rsidR="00615263" w:rsidRPr="00406370" w:rsidRDefault="00615263" w:rsidP="0061526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06370">
        <w:rPr>
          <w:rFonts w:ascii="Times New Roman" w:hAnsi="Times New Roman"/>
          <w:sz w:val="24"/>
          <w:szCs w:val="24"/>
        </w:rPr>
        <w:t xml:space="preserve">The main objective of the course is to enhance </w:t>
      </w:r>
      <w:r>
        <w:rPr>
          <w:rFonts w:ascii="Times New Roman" w:hAnsi="Times New Roman"/>
          <w:sz w:val="24"/>
          <w:szCs w:val="24"/>
        </w:rPr>
        <w:t xml:space="preserve">students’ </w:t>
      </w:r>
      <w:r w:rsidRPr="00406370">
        <w:rPr>
          <w:rFonts w:ascii="Times New Roman" w:hAnsi="Times New Roman"/>
          <w:sz w:val="24"/>
          <w:szCs w:val="24"/>
        </w:rPr>
        <w:t>communication skills</w:t>
      </w:r>
      <w:r>
        <w:rPr>
          <w:rFonts w:ascii="Times New Roman" w:hAnsi="Times New Roman"/>
          <w:sz w:val="24"/>
          <w:szCs w:val="24"/>
        </w:rPr>
        <w:t>,</w:t>
      </w:r>
      <w:r w:rsidRPr="00406370">
        <w:rPr>
          <w:rFonts w:ascii="Times New Roman" w:hAnsi="Times New Roman"/>
          <w:sz w:val="24"/>
          <w:szCs w:val="24"/>
        </w:rPr>
        <w:t xml:space="preserve"> both oral and written, required for various managerial activities such as conducting and participating in interviews, discussing in groups, presenting in teams, speaking in public, giving instructions, conducting meetings, etc. </w:t>
      </w:r>
    </w:p>
    <w:p w14:paraId="6B87A507" w14:textId="1BDA9E1F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50320268" w:rsidR="00DA1841" w:rsidRPr="00615263" w:rsidRDefault="00615263" w:rsidP="00615263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06370">
        <w:rPr>
          <w:rFonts w:ascii="Times New Roman" w:hAnsi="Times New Roman"/>
          <w:sz w:val="24"/>
          <w:szCs w:val="24"/>
        </w:rPr>
        <w:t xml:space="preserve">Raman, </w:t>
      </w:r>
      <w:proofErr w:type="spellStart"/>
      <w:r w:rsidRPr="00406370">
        <w:rPr>
          <w:rFonts w:ascii="Times New Roman" w:hAnsi="Times New Roman"/>
          <w:sz w:val="24"/>
          <w:szCs w:val="24"/>
        </w:rPr>
        <w:t>Meenakshi</w:t>
      </w:r>
      <w:proofErr w:type="spellEnd"/>
      <w:r w:rsidRPr="00406370">
        <w:rPr>
          <w:rFonts w:ascii="Times New Roman" w:hAnsi="Times New Roman"/>
          <w:sz w:val="24"/>
          <w:szCs w:val="24"/>
        </w:rPr>
        <w:t xml:space="preserve"> and Prakash Singh. 2006. Business communication. New Delhi: Oxford   University Press</w:t>
      </w: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F2BF593" w14:textId="77777777" w:rsidR="00615263" w:rsidRDefault="00615263" w:rsidP="00615263">
      <w:pPr>
        <w:pStyle w:val="PlainText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r w:rsidRPr="00406370">
        <w:rPr>
          <w:rFonts w:ascii="Times New Roman" w:hAnsi="Times New Roman"/>
          <w:sz w:val="24"/>
          <w:szCs w:val="24"/>
        </w:rPr>
        <w:t xml:space="preserve">Ober Scot.2004. Contemporary Business Communication. Fifth Edition. Delhi: </w:t>
      </w:r>
      <w:proofErr w:type="spellStart"/>
      <w:r w:rsidRPr="00406370">
        <w:rPr>
          <w:rFonts w:ascii="Times New Roman" w:hAnsi="Times New Roman"/>
          <w:sz w:val="24"/>
          <w:szCs w:val="24"/>
        </w:rPr>
        <w:t>Biztantra</w:t>
      </w:r>
      <w:proofErr w:type="spellEnd"/>
      <w:r w:rsidRPr="00406370">
        <w:rPr>
          <w:rFonts w:ascii="Times New Roman" w:hAnsi="Times New Roman"/>
          <w:sz w:val="24"/>
          <w:szCs w:val="24"/>
        </w:rPr>
        <w:t xml:space="preserve"> </w:t>
      </w:r>
    </w:p>
    <w:p w14:paraId="41501219" w14:textId="77777777" w:rsidR="00615263" w:rsidRDefault="00615263" w:rsidP="00615263">
      <w:pPr>
        <w:pStyle w:val="PlainText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15263">
        <w:rPr>
          <w:rFonts w:ascii="Times New Roman" w:hAnsi="Times New Roman"/>
          <w:sz w:val="24"/>
          <w:szCs w:val="24"/>
        </w:rPr>
        <w:t>Lesikar</w:t>
      </w:r>
      <w:proofErr w:type="spellEnd"/>
      <w:r w:rsidRPr="0061526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15263">
        <w:rPr>
          <w:rFonts w:ascii="Times New Roman" w:hAnsi="Times New Roman"/>
          <w:sz w:val="24"/>
          <w:szCs w:val="24"/>
        </w:rPr>
        <w:t>Flatley</w:t>
      </w:r>
      <w:proofErr w:type="spellEnd"/>
      <w:r w:rsidRPr="00615263">
        <w:rPr>
          <w:rFonts w:ascii="Times New Roman" w:hAnsi="Times New Roman"/>
          <w:sz w:val="24"/>
          <w:szCs w:val="24"/>
        </w:rPr>
        <w:t>. 2005. Basic Business Communication. Tenth Edition. New Delhi: Tata McGraw Hill.</w:t>
      </w:r>
    </w:p>
    <w:p w14:paraId="29B443C0" w14:textId="6D26187B" w:rsidR="00615263" w:rsidRDefault="00615263" w:rsidP="00615263">
      <w:pPr>
        <w:pStyle w:val="PlainText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15263">
        <w:rPr>
          <w:rFonts w:ascii="Times New Roman" w:hAnsi="Times New Roman"/>
          <w:sz w:val="24"/>
          <w:szCs w:val="24"/>
        </w:rPr>
        <w:t>Bovee</w:t>
      </w:r>
      <w:proofErr w:type="spellEnd"/>
      <w:r w:rsidRPr="00615263">
        <w:rPr>
          <w:rFonts w:ascii="Times New Roman" w:hAnsi="Times New Roman"/>
          <w:sz w:val="24"/>
          <w:szCs w:val="24"/>
        </w:rPr>
        <w:t xml:space="preserve"> Courtland, L. et. al. 2003. Business Communication Today. Ninth </w:t>
      </w:r>
      <w:r>
        <w:rPr>
          <w:rFonts w:ascii="Times New Roman" w:hAnsi="Times New Roman"/>
          <w:sz w:val="24"/>
          <w:szCs w:val="24"/>
        </w:rPr>
        <w:t>Edition. Delhi: Pearson Education.</w:t>
      </w:r>
    </w:p>
    <w:p w14:paraId="775186EC" w14:textId="42951A7D" w:rsidR="00AD25E1" w:rsidRPr="00615263" w:rsidRDefault="00615263" w:rsidP="00615263">
      <w:pPr>
        <w:pStyle w:val="PlainText"/>
        <w:numPr>
          <w:ilvl w:val="0"/>
          <w:numId w:val="4"/>
        </w:numPr>
        <w:tabs>
          <w:tab w:val="left" w:pos="72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15263">
        <w:rPr>
          <w:rFonts w:ascii="Times New Roman" w:hAnsi="Times New Roman"/>
          <w:sz w:val="24"/>
          <w:szCs w:val="24"/>
        </w:rPr>
        <w:t>Chaturvedi</w:t>
      </w:r>
      <w:proofErr w:type="spellEnd"/>
      <w:r w:rsidRPr="00615263">
        <w:rPr>
          <w:rFonts w:ascii="Times New Roman" w:hAnsi="Times New Roman"/>
          <w:sz w:val="24"/>
          <w:szCs w:val="24"/>
        </w:rPr>
        <w:t xml:space="preserve"> P.D. and </w:t>
      </w:r>
      <w:proofErr w:type="spellStart"/>
      <w:r w:rsidRPr="00615263">
        <w:rPr>
          <w:rFonts w:ascii="Times New Roman" w:hAnsi="Times New Roman"/>
          <w:sz w:val="24"/>
          <w:szCs w:val="24"/>
        </w:rPr>
        <w:t>Mukesh</w:t>
      </w:r>
      <w:proofErr w:type="spellEnd"/>
      <w:r w:rsidRPr="00615263">
        <w:rPr>
          <w:rFonts w:ascii="Times New Roman" w:hAnsi="Times New Roman"/>
          <w:sz w:val="24"/>
          <w:szCs w:val="24"/>
        </w:rPr>
        <w:t xml:space="preserve"> Chaturvedi.2004.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5263">
        <w:rPr>
          <w:rFonts w:ascii="Times New Roman" w:hAnsi="Times New Roman"/>
          <w:sz w:val="24"/>
          <w:szCs w:val="24"/>
        </w:rPr>
        <w:t xml:space="preserve">Business Communication:      Concepts, Cases and Applications. Delhi: Pearson Education                          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15263" w:rsidRPr="00BA568D" w14:paraId="4F7A6304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27CB8" w14:textId="77777777" w:rsidR="00615263" w:rsidRPr="00406370" w:rsidRDefault="00615263" w:rsidP="00615263">
            <w:pPr>
              <w:jc w:val="both"/>
            </w:pPr>
            <w:r>
              <w:t>1-2</w:t>
            </w:r>
          </w:p>
          <w:p w14:paraId="316FE7BB" w14:textId="77CF66AA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73582264" w:rsidR="00615263" w:rsidRPr="00615263" w:rsidRDefault="00615263" w:rsidP="00615263">
            <w:pPr>
              <w:jc w:val="both"/>
            </w:pPr>
            <w:r>
              <w:t>Comprehend</w:t>
            </w:r>
            <w:r w:rsidRPr="00406370">
              <w:t xml:space="preserve"> t</w:t>
            </w:r>
            <w:r>
              <w:t>he principles of Communication.</w:t>
            </w:r>
            <w:r w:rsidRPr="00406370">
              <w:t>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75C98DC2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  <w:r w:rsidRPr="00406370">
              <w:t>Managerial Communication –</w:t>
            </w:r>
            <w:r>
              <w:t>National and International Contexts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3E876763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1</w:t>
            </w:r>
          </w:p>
        </w:tc>
      </w:tr>
      <w:tr w:rsidR="00615263" w:rsidRPr="00BA568D" w14:paraId="341E7FAA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F061F" w14:textId="6B961F4C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DF9A" w14:textId="793B9ABF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Discu</w:t>
            </w:r>
            <w:r>
              <w:t>ss the significance and use</w:t>
            </w:r>
            <w:r w:rsidRPr="00406370">
              <w:t xml:space="preserve"> effective</w:t>
            </w:r>
            <w:r>
              <w:t xml:space="preserve"> n</w:t>
            </w:r>
            <w:r w:rsidRPr="00406370">
              <w:t>on-verbal communication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0F908" w14:textId="336E6438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Non-verbal communication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E5277" w14:textId="3ABF3D9B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  <w:r w:rsidRPr="00406370">
              <w:t>Ch.2</w:t>
            </w:r>
          </w:p>
        </w:tc>
      </w:tr>
      <w:tr w:rsidR="00615263" w:rsidRPr="00BA568D" w14:paraId="162C9ADA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B40BE" w14:textId="77777777" w:rsidR="00615263" w:rsidRPr="00406370" w:rsidRDefault="00615263" w:rsidP="00615263">
            <w:pPr>
              <w:jc w:val="both"/>
            </w:pPr>
            <w:r>
              <w:t>4-6</w:t>
            </w:r>
          </w:p>
          <w:p w14:paraId="76588602" w14:textId="77777777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9E2CD" w14:textId="3622B95B" w:rsidR="00615263" w:rsidRPr="00E607CB" w:rsidRDefault="00615263" w:rsidP="00E607CB">
            <w:r>
              <w:t>Apply strategies of e</w:t>
            </w:r>
            <w:r w:rsidR="00E607CB">
              <w:t>ffective listening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EB7DA" w14:textId="0FFA7877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Effective listening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FF6D2" w14:textId="16EC2714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3 Reading Assignment</w:t>
            </w:r>
          </w:p>
        </w:tc>
      </w:tr>
      <w:tr w:rsidR="00615263" w:rsidRPr="00BA568D" w14:paraId="4924852D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6CD84" w14:textId="7CA3E66E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lastRenderedPageBreak/>
              <w:t>7-12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EFC9" w14:textId="709AC34D" w:rsidR="00615263" w:rsidRPr="00E607CB" w:rsidRDefault="00615263" w:rsidP="00E607CB">
            <w:pPr>
              <w:jc w:val="both"/>
            </w:pPr>
            <w:r>
              <w:t>Prepare and carry out</w:t>
            </w:r>
            <w:r w:rsidR="00E607CB">
              <w:t xml:space="preserve"> individual presentations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9B9A6" w14:textId="4BDCE885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Business presentations and public speaking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40805" w14:textId="6C6D03DE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4</w:t>
            </w:r>
          </w:p>
        </w:tc>
      </w:tr>
      <w:tr w:rsidR="00615263" w:rsidRPr="00BA568D" w14:paraId="38B19B84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2043" w14:textId="2D077A95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13-</w:t>
            </w:r>
            <w: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B053" w14:textId="77777777" w:rsidR="00615263" w:rsidRPr="00406370" w:rsidRDefault="00615263" w:rsidP="00615263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406370">
              <w:rPr>
                <w:rFonts w:ascii="Times New Roman" w:hAnsi="Times New Roman"/>
                <w:sz w:val="24"/>
                <w:szCs w:val="24"/>
              </w:rPr>
              <w:t>Analyze the underlying</w:t>
            </w:r>
          </w:p>
          <w:p w14:paraId="034B79D8" w14:textId="3917CC2D" w:rsidR="00615263" w:rsidRPr="00E607CB" w:rsidRDefault="00615263" w:rsidP="00E607CB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406370">
              <w:rPr>
                <w:rFonts w:ascii="Times New Roman" w:hAnsi="Times New Roman"/>
                <w:sz w:val="24"/>
                <w:szCs w:val="24"/>
              </w:rPr>
              <w:t xml:space="preserve">rinciples of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406370">
              <w:rPr>
                <w:rFonts w:ascii="Times New Roman" w:hAnsi="Times New Roman"/>
                <w:sz w:val="24"/>
                <w:szCs w:val="24"/>
              </w:rPr>
              <w:t xml:space="preserve">nterpersonal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406370">
              <w:rPr>
                <w:rFonts w:ascii="Times New Roman" w:hAnsi="Times New Roman"/>
                <w:sz w:val="24"/>
                <w:szCs w:val="24"/>
              </w:rPr>
              <w:t>ommunication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participate in interviews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79FA" w14:textId="77777777" w:rsidR="00615263" w:rsidRPr="00406370" w:rsidRDefault="00615263" w:rsidP="00615263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6370">
              <w:rPr>
                <w:rFonts w:ascii="Times New Roman" w:hAnsi="Times New Roman"/>
                <w:sz w:val="24"/>
                <w:szCs w:val="24"/>
              </w:rPr>
              <w:t>Interpersonal Communication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Interview Skills</w:t>
            </w:r>
          </w:p>
          <w:p w14:paraId="018DFC3C" w14:textId="77777777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23615" w14:textId="55CD42F6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5 </w:t>
            </w:r>
            <w:r>
              <w:t>and 7(Class Work)</w:t>
            </w:r>
          </w:p>
        </w:tc>
      </w:tr>
      <w:tr w:rsidR="00615263" w:rsidRPr="00BA568D" w14:paraId="4F663CA3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08287" w14:textId="412B589A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17-18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C2FF1" w14:textId="36F2E363" w:rsidR="00615263" w:rsidRPr="00BA568D" w:rsidRDefault="00615263" w:rsidP="000A1B05">
            <w:pPr>
              <w:rPr>
                <w:sz w:val="22"/>
                <w:szCs w:val="22"/>
              </w:rPr>
            </w:pPr>
            <w:r w:rsidRPr="00406370">
              <w:t>Develop a perspective on Corporate Communication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A25D5" w14:textId="77777777" w:rsidR="00615263" w:rsidRPr="00406370" w:rsidRDefault="00615263" w:rsidP="00615263">
            <w:pPr>
              <w:jc w:val="both"/>
            </w:pPr>
            <w:r w:rsidRPr="00406370">
              <w:t>Business correspondence</w:t>
            </w:r>
          </w:p>
          <w:p w14:paraId="6E57DB2F" w14:textId="77777777" w:rsidR="00615263" w:rsidRPr="00BA568D" w:rsidRDefault="00615263" w:rsidP="006152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09879" w14:textId="635A2030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Ch. 8 Reading Assignment</w:t>
            </w:r>
          </w:p>
        </w:tc>
      </w:tr>
      <w:tr w:rsidR="00615263" w:rsidRPr="00BA568D" w14:paraId="654B9420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D9E6" w14:textId="589ADAFD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19-20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14DB" w14:textId="47CFEF15" w:rsidR="00615263" w:rsidRPr="00BA568D" w:rsidRDefault="00615263" w:rsidP="000A1B05">
            <w:pPr>
              <w:rPr>
                <w:sz w:val="22"/>
                <w:szCs w:val="22"/>
              </w:rPr>
            </w:pPr>
            <w:r>
              <w:t>Understanding the functions of meeting and conferences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20A0" w14:textId="0F13C3EF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Meetings and conferences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E78C3" w14:textId="0450705C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11</w:t>
            </w:r>
          </w:p>
        </w:tc>
      </w:tr>
      <w:tr w:rsidR="00615263" w:rsidRPr="00BA568D" w14:paraId="69C80A81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DE937" w14:textId="1CF3264E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21-23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8C5D1" w14:textId="3711509C" w:rsidR="00615263" w:rsidRPr="00BA568D" w:rsidRDefault="00615263" w:rsidP="000A1B05">
            <w:pPr>
              <w:rPr>
                <w:sz w:val="22"/>
                <w:szCs w:val="22"/>
              </w:rPr>
            </w:pPr>
            <w:r>
              <w:t xml:space="preserve">Develop the skills of group discussion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94D4" w14:textId="2E4E3515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 xml:space="preserve">Group Communication : </w:t>
            </w:r>
            <w:r w:rsidRPr="00406370">
              <w:t>Group discussions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F61CF" w14:textId="09573A41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12</w:t>
            </w:r>
          </w:p>
        </w:tc>
      </w:tr>
      <w:tr w:rsidR="00615263" w:rsidRPr="00BA568D" w14:paraId="7C35C559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FAF01" w14:textId="726277FF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24-32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97F1F" w14:textId="46A26E2B" w:rsidR="00615263" w:rsidRPr="00BA568D" w:rsidRDefault="00615263" w:rsidP="000A1B05">
            <w:pPr>
              <w:rPr>
                <w:sz w:val="22"/>
                <w:szCs w:val="22"/>
              </w:rPr>
            </w:pPr>
            <w:r>
              <w:t>Take part in team presentations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EA638" w14:textId="23E1E57C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Team presentations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BAA01" w14:textId="406024C8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Ch.12</w:t>
            </w:r>
          </w:p>
        </w:tc>
      </w:tr>
      <w:tr w:rsidR="00615263" w:rsidRPr="00BA568D" w14:paraId="408A9C35" w14:textId="77777777" w:rsidTr="00E71A5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7CDB" w14:textId="51D67AFD" w:rsidR="00615263" w:rsidRPr="00BA568D" w:rsidRDefault="00615263" w:rsidP="00615263">
            <w:pPr>
              <w:rPr>
                <w:sz w:val="22"/>
                <w:szCs w:val="22"/>
              </w:rPr>
            </w:pPr>
            <w:r>
              <w:t>33-42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3B5BF" w14:textId="36F0278D" w:rsidR="00615263" w:rsidRPr="00BA568D" w:rsidRDefault="00615263" w:rsidP="000A1B05">
            <w:pPr>
              <w:rPr>
                <w:sz w:val="22"/>
                <w:szCs w:val="22"/>
              </w:rPr>
            </w:pPr>
            <w:r>
              <w:t>Develop the required skills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05892" w14:textId="362A1D5F" w:rsidR="00615263" w:rsidRPr="00BA568D" w:rsidRDefault="00615263" w:rsidP="00615263">
            <w:pPr>
              <w:rPr>
                <w:sz w:val="22"/>
                <w:szCs w:val="22"/>
              </w:rPr>
            </w:pPr>
            <w:r w:rsidRPr="00406370">
              <w:t>Advertising, conflict management, negotiation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C05E" w14:textId="08B5947D" w:rsidR="00615263" w:rsidRPr="00BA568D" w:rsidRDefault="00615263" w:rsidP="00615263">
            <w:pPr>
              <w:rPr>
                <w:sz w:val="22"/>
                <w:szCs w:val="22"/>
              </w:rPr>
            </w:pPr>
            <w:proofErr w:type="spellStart"/>
            <w:r w:rsidRPr="00406370">
              <w:t>Ch</w:t>
            </w:r>
            <w:proofErr w:type="spellEnd"/>
            <w:r w:rsidRPr="00406370">
              <w:t xml:space="preserve"> 14 Reading Assignment</w:t>
            </w:r>
          </w:p>
        </w:tc>
      </w:tr>
    </w:tbl>
    <w:p w14:paraId="54BE4F02" w14:textId="77777777" w:rsidR="00615263" w:rsidRDefault="00615263">
      <w:pPr>
        <w:jc w:val="both"/>
        <w:rPr>
          <w:b/>
          <w:bCs/>
        </w:rPr>
      </w:pPr>
    </w:p>
    <w:p w14:paraId="68030640" w14:textId="04274C47" w:rsidR="00615263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83"/>
        <w:gridCol w:w="2365"/>
        <w:gridCol w:w="1764"/>
      </w:tblGrid>
      <w:tr w:rsidR="00615263" w:rsidRPr="00406370" w14:paraId="489CEE60" w14:textId="77777777" w:rsidTr="004B106E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5C70E2" w14:textId="77777777" w:rsidR="00615263" w:rsidRPr="00406370" w:rsidRDefault="00615263" w:rsidP="00DC1FCA">
            <w:pPr>
              <w:jc w:val="both"/>
              <w:rPr>
                <w:b/>
                <w:bCs/>
              </w:rPr>
            </w:pPr>
            <w:r w:rsidRPr="00406370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7576AA" w14:textId="77777777" w:rsidR="00615263" w:rsidRDefault="00615263" w:rsidP="00DC1FCA">
            <w:pPr>
              <w:jc w:val="both"/>
              <w:rPr>
                <w:b/>
                <w:bCs/>
              </w:rPr>
            </w:pPr>
            <w:r w:rsidRPr="00406370">
              <w:rPr>
                <w:b/>
                <w:bCs/>
              </w:rPr>
              <w:t>Duration</w:t>
            </w:r>
          </w:p>
          <w:p w14:paraId="67633BA8" w14:textId="124B6FCA" w:rsidR="00615263" w:rsidRPr="00406370" w:rsidRDefault="00615263" w:rsidP="00DC1FC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F486A7" w14:textId="77777777" w:rsidR="00615263" w:rsidRPr="00406370" w:rsidRDefault="00615263" w:rsidP="00DC1FCA">
            <w:pPr>
              <w:jc w:val="both"/>
              <w:rPr>
                <w:b/>
                <w:bCs/>
              </w:rPr>
            </w:pPr>
            <w:r w:rsidRPr="00406370">
              <w:rPr>
                <w:b/>
                <w:bCs/>
              </w:rPr>
              <w:t>Weightage (%)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DEA0B8" w14:textId="77777777" w:rsidR="00615263" w:rsidRPr="00406370" w:rsidRDefault="00615263" w:rsidP="00DC1FCA">
            <w:pPr>
              <w:jc w:val="both"/>
              <w:rPr>
                <w:b/>
                <w:bCs/>
              </w:rPr>
            </w:pPr>
            <w:r w:rsidRPr="00406370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EC86378" w14:textId="77777777" w:rsidR="00615263" w:rsidRPr="00406370" w:rsidRDefault="00615263" w:rsidP="00DC1FCA">
            <w:pPr>
              <w:jc w:val="both"/>
              <w:rPr>
                <w:b/>
                <w:bCs/>
              </w:rPr>
            </w:pPr>
            <w:r w:rsidRPr="00406370">
              <w:rPr>
                <w:b/>
                <w:bCs/>
              </w:rPr>
              <w:t>Nature of Component</w:t>
            </w:r>
          </w:p>
        </w:tc>
      </w:tr>
      <w:tr w:rsidR="00615263" w:rsidRPr="00406370" w14:paraId="0CE69EF3" w14:textId="77777777" w:rsidTr="004B106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B569" w14:textId="7BD05DBD" w:rsidR="00615263" w:rsidRPr="00406370" w:rsidRDefault="00615263" w:rsidP="00DC1FCA">
            <w:pPr>
              <w:jc w:val="both"/>
            </w:pPr>
            <w:r w:rsidRPr="00406370"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637E" w14:textId="007936CC" w:rsidR="00615263" w:rsidRPr="00406370" w:rsidRDefault="00615263" w:rsidP="00DC1FCA">
            <w:pPr>
              <w:jc w:val="both"/>
            </w:pPr>
            <w:r>
              <w:t>NA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DD9F" w14:textId="62CDA229" w:rsidR="00615263" w:rsidRPr="00406370" w:rsidRDefault="00615263" w:rsidP="00DC1FCA">
            <w:pPr>
              <w:jc w:val="both"/>
            </w:pPr>
            <w:r>
              <w:t>30 (15+15)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F88C" w14:textId="392C9B8F" w:rsidR="00615263" w:rsidRPr="004B106E" w:rsidRDefault="00615263" w:rsidP="00DC1FCA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3"/>
              </w:rPr>
            </w:pPr>
            <w:r w:rsidRPr="004B106E">
              <w:rPr>
                <w:rFonts w:eastAsia="Calibri"/>
                <w:color w:val="000000"/>
                <w:sz w:val="22"/>
                <w:szCs w:val="23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0040" w14:textId="701BD1E1" w:rsidR="00615263" w:rsidRPr="00406370" w:rsidRDefault="00615263" w:rsidP="00615263">
            <w:pPr>
              <w:jc w:val="both"/>
            </w:pPr>
            <w:r w:rsidRPr="007841D8">
              <w:rPr>
                <w:rFonts w:eastAsia="Calibri"/>
                <w:color w:val="000000"/>
                <w:sz w:val="23"/>
                <w:szCs w:val="23"/>
              </w:rPr>
              <w:t xml:space="preserve">Take home/ quiz </w:t>
            </w:r>
            <w:r>
              <w:rPr>
                <w:rFonts w:eastAsia="Calibri"/>
                <w:color w:val="000000"/>
                <w:sz w:val="23"/>
                <w:szCs w:val="23"/>
              </w:rPr>
              <w:t xml:space="preserve"> or </w:t>
            </w:r>
            <w:r>
              <w:t>Presentations /</w:t>
            </w:r>
            <w:r w:rsidRPr="00406370">
              <w:t>Group Discussions</w:t>
            </w:r>
            <w:r>
              <w:t xml:space="preserve"> </w:t>
            </w:r>
          </w:p>
        </w:tc>
      </w:tr>
      <w:tr w:rsidR="00615263" w:rsidRPr="00406370" w14:paraId="452B64ED" w14:textId="77777777" w:rsidTr="004B106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81F5" w14:textId="5E6C4CEF" w:rsidR="00615263" w:rsidRPr="00406370" w:rsidRDefault="00615263" w:rsidP="00DC1FCA">
            <w:pPr>
              <w:jc w:val="both"/>
            </w:pPr>
            <w:r w:rsidRPr="00406370">
              <w:t>Mid Semester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57E4" w14:textId="3A7C5716" w:rsidR="00615263" w:rsidRPr="00406370" w:rsidRDefault="00615263" w:rsidP="00615263">
            <w:pPr>
              <w:jc w:val="both"/>
            </w:pPr>
            <w:r w:rsidRPr="00406370">
              <w:t xml:space="preserve">90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8F09" w14:textId="515685AA" w:rsidR="00615263" w:rsidRPr="00406370" w:rsidRDefault="00615263" w:rsidP="00DC1FCA">
            <w:pPr>
              <w:jc w:val="both"/>
            </w:pPr>
            <w: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61182" w14:textId="0C586F14" w:rsidR="00615263" w:rsidRPr="004B106E" w:rsidRDefault="004B106E" w:rsidP="00DC1FCA">
            <w:pPr>
              <w:jc w:val="both"/>
              <w:rPr>
                <w:sz w:val="22"/>
              </w:rPr>
            </w:pPr>
            <w:r w:rsidRPr="004B106E">
              <w:rPr>
                <w:sz w:val="22"/>
                <w:szCs w:val="20"/>
                <w:lang w:val="en-IN" w:eastAsia="en-IN"/>
              </w:rPr>
              <w:t>22/10/2021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5568" w14:textId="764F932E" w:rsidR="00615263" w:rsidRPr="00406370" w:rsidRDefault="00615263" w:rsidP="00DC1FCA">
            <w:pPr>
              <w:jc w:val="both"/>
            </w:pPr>
            <w:r>
              <w:t>Open</w:t>
            </w:r>
            <w:r w:rsidRPr="00406370">
              <w:t xml:space="preserve"> Book</w:t>
            </w:r>
          </w:p>
        </w:tc>
      </w:tr>
      <w:tr w:rsidR="00615263" w:rsidRPr="00406370" w14:paraId="00274160" w14:textId="77777777" w:rsidTr="004B106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B263" w14:textId="77777777" w:rsidR="00615263" w:rsidRPr="00406370" w:rsidRDefault="00615263" w:rsidP="00DC1FCA">
            <w:pPr>
              <w:jc w:val="both"/>
            </w:pPr>
            <w:r w:rsidRPr="00406370"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5516" w14:textId="09EE5487" w:rsidR="00615263" w:rsidRPr="00406370" w:rsidRDefault="00615263" w:rsidP="00615263">
            <w:pPr>
              <w:jc w:val="both"/>
            </w:pPr>
            <w:r>
              <w:t xml:space="preserve">120 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EDA7" w14:textId="77777777" w:rsidR="00615263" w:rsidRPr="00406370" w:rsidRDefault="00615263" w:rsidP="00DC1FCA">
            <w:pPr>
              <w:jc w:val="both"/>
            </w:pPr>
            <w:r w:rsidRPr="00406370">
              <w:t>40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1681" w14:textId="290BC3B2" w:rsidR="00615263" w:rsidRPr="004B106E" w:rsidRDefault="004B106E" w:rsidP="00DC1FCA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3"/>
              </w:rPr>
            </w:pPr>
            <w:r w:rsidRPr="004B106E">
              <w:rPr>
                <w:sz w:val="22"/>
                <w:szCs w:val="17"/>
                <w:lang w:val="en-IN" w:eastAsia="en-IN"/>
              </w:rPr>
              <w:t>24/12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3001" w14:textId="77777777" w:rsidR="00615263" w:rsidRPr="00406370" w:rsidRDefault="00615263" w:rsidP="00DC1FCA">
            <w:pPr>
              <w:jc w:val="both"/>
            </w:pPr>
            <w:r w:rsidRPr="00406370">
              <w:t>Open Book</w:t>
            </w:r>
          </w:p>
        </w:tc>
      </w:tr>
    </w:tbl>
    <w:p w14:paraId="29436A94" w14:textId="77777777" w:rsidR="00615263" w:rsidRDefault="00615263">
      <w:pPr>
        <w:jc w:val="both"/>
        <w:rPr>
          <w:b/>
          <w:bCs/>
        </w:rPr>
      </w:pPr>
    </w:p>
    <w:p w14:paraId="3A9FF177" w14:textId="0E9C55A5" w:rsidR="00E607CB" w:rsidRDefault="00E607CB" w:rsidP="00E607CB">
      <w:pPr>
        <w:jc w:val="both"/>
      </w:pPr>
      <w:r>
        <w:rPr>
          <w:b/>
          <w:bCs/>
        </w:rPr>
        <w:t>Chamber Consultation Hour:</w:t>
      </w:r>
      <w:r>
        <w:t xml:space="preserve">  </w:t>
      </w:r>
      <w:r>
        <w:rPr>
          <w:highlight w:val="white"/>
        </w:rPr>
        <w:t>A Google Meet link along with consultation hours will be shared on the CMS</w:t>
      </w:r>
    </w:p>
    <w:p w14:paraId="6F9365FE" w14:textId="77777777" w:rsidR="00E607CB" w:rsidRDefault="00E607CB" w:rsidP="00E607CB">
      <w:pPr>
        <w:jc w:val="both"/>
      </w:pPr>
      <w:r>
        <w:rPr>
          <w:b/>
          <w:bCs/>
        </w:rPr>
        <w:t>Notices:</w:t>
      </w:r>
      <w:r>
        <w:t xml:space="preserve"> Notices, if any, will be displayed on CMS.</w:t>
      </w:r>
    </w:p>
    <w:p w14:paraId="339138F5" w14:textId="6542ED7D" w:rsidR="00B72B19" w:rsidRPr="00406370" w:rsidRDefault="00A44798" w:rsidP="00B72B19">
      <w:pPr>
        <w:jc w:val="both"/>
      </w:pPr>
      <w:r w:rsidRPr="00A44798">
        <w:rPr>
          <w:b/>
        </w:rPr>
        <w:t>Make-up Policy:</w:t>
      </w:r>
      <w:r w:rsidR="00B72B19" w:rsidRPr="00B72B19">
        <w:t xml:space="preserve"> </w:t>
      </w:r>
      <w:r w:rsidR="00B72B19" w:rsidRPr="00406370">
        <w:t xml:space="preserve">Make-up shall </w:t>
      </w:r>
      <w:bookmarkStart w:id="0" w:name="_GoBack"/>
      <w:bookmarkEnd w:id="0"/>
      <w:r w:rsidR="00B72B19" w:rsidRPr="00406370">
        <w:t xml:space="preserve">be granted only in genuine cases based on individual’s need, circumstances. </w:t>
      </w:r>
    </w:p>
    <w:p w14:paraId="5B1B2D0D" w14:textId="4E4B4C1F" w:rsidR="00E607CB" w:rsidRDefault="00FD242D" w:rsidP="00E607CB">
      <w:r w:rsidRPr="00B74316">
        <w:rPr>
          <w:b/>
          <w:sz w:val="22"/>
          <w:szCs w:val="22"/>
        </w:rPr>
        <w:t>Academic Honesty and Integrity Policy:</w:t>
      </w:r>
      <w:r w:rsidR="00E607CB" w:rsidRPr="00E607CB">
        <w:t xml:space="preserve"> </w:t>
      </w:r>
      <w:r w:rsidR="00E607CB">
        <w:t>Academic honesty and integrity are to be maintained by all the students throughout the semester and no type of academic dishonesty is acceptable.</w:t>
      </w:r>
    </w:p>
    <w:p w14:paraId="3C9C2BDB" w14:textId="77777777" w:rsidR="00E607CB" w:rsidRDefault="00E607CB" w:rsidP="00E607CB"/>
    <w:p w14:paraId="4100033A" w14:textId="3888A1FC" w:rsidR="00FD242D" w:rsidRPr="00A44798" w:rsidRDefault="00FD242D">
      <w:pPr>
        <w:jc w:val="both"/>
        <w:rPr>
          <w:b/>
        </w:rPr>
      </w:pPr>
    </w:p>
    <w:p w14:paraId="00B76E5E" w14:textId="77777777" w:rsidR="00AD25E1" w:rsidRDefault="00AD25E1">
      <w:pPr>
        <w:jc w:val="right"/>
      </w:pPr>
    </w:p>
    <w:p w14:paraId="79816ADC" w14:textId="3176174C" w:rsidR="008005D9" w:rsidRDefault="00E607CB" w:rsidP="00A44798">
      <w:pPr>
        <w:jc w:val="right"/>
        <w:rPr>
          <w:b/>
          <w:bCs/>
        </w:rPr>
      </w:pPr>
      <w:proofErr w:type="spellStart"/>
      <w:r>
        <w:rPr>
          <w:b/>
          <w:bCs/>
        </w:rPr>
        <w:t>Aruna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Lolla</w:t>
      </w:r>
      <w:proofErr w:type="spellEnd"/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B51F1" w14:textId="77777777" w:rsidR="00BF3086" w:rsidRDefault="00BF3086" w:rsidP="00EB2F06">
      <w:r>
        <w:separator/>
      </w:r>
    </w:p>
  </w:endnote>
  <w:endnote w:type="continuationSeparator" w:id="0">
    <w:p w14:paraId="568D8BC1" w14:textId="77777777" w:rsidR="00BF3086" w:rsidRDefault="00BF308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D0CFA" w14:textId="77777777" w:rsidR="00BF3086" w:rsidRDefault="00BF3086" w:rsidP="00EB2F06">
      <w:r>
        <w:separator/>
      </w:r>
    </w:p>
  </w:footnote>
  <w:footnote w:type="continuationSeparator" w:id="0">
    <w:p w14:paraId="36D28310" w14:textId="77777777" w:rsidR="00BF3086" w:rsidRDefault="00BF308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34350"/>
    <w:multiLevelType w:val="multilevel"/>
    <w:tmpl w:val="40325300"/>
    <w:lvl w:ilvl="0">
      <w:start w:val="1"/>
      <w:numFmt w:val="decimal"/>
      <w:lvlText w:val="%1."/>
      <w:legacy w:legacy="1" w:legacySpace="120" w:legacyIndent="720"/>
      <w:lvlJc w:val="left"/>
      <w:pPr>
        <w:ind w:left="1145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505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685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2045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2405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585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945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3305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4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1B05"/>
    <w:rsid w:val="000A4CE9"/>
    <w:rsid w:val="000C47FD"/>
    <w:rsid w:val="000D0C39"/>
    <w:rsid w:val="00167B88"/>
    <w:rsid w:val="0021277E"/>
    <w:rsid w:val="00217EB9"/>
    <w:rsid w:val="00240A50"/>
    <w:rsid w:val="00251FD3"/>
    <w:rsid w:val="00256511"/>
    <w:rsid w:val="0029648E"/>
    <w:rsid w:val="002F1369"/>
    <w:rsid w:val="00304112"/>
    <w:rsid w:val="003558C3"/>
    <w:rsid w:val="003D6BA8"/>
    <w:rsid w:val="003F66A8"/>
    <w:rsid w:val="004571B3"/>
    <w:rsid w:val="004B106E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15263"/>
    <w:rsid w:val="00670BDE"/>
    <w:rsid w:val="007543E4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A20B31"/>
    <w:rsid w:val="00A44798"/>
    <w:rsid w:val="00AD25E1"/>
    <w:rsid w:val="00AF125F"/>
    <w:rsid w:val="00B23878"/>
    <w:rsid w:val="00B55284"/>
    <w:rsid w:val="00B72B19"/>
    <w:rsid w:val="00B86684"/>
    <w:rsid w:val="00BA568D"/>
    <w:rsid w:val="00BF3086"/>
    <w:rsid w:val="00C338D9"/>
    <w:rsid w:val="00C6663B"/>
    <w:rsid w:val="00CF21AC"/>
    <w:rsid w:val="00D036CE"/>
    <w:rsid w:val="00DA1841"/>
    <w:rsid w:val="00DB7398"/>
    <w:rsid w:val="00DD7A77"/>
    <w:rsid w:val="00DE3D84"/>
    <w:rsid w:val="00E4760D"/>
    <w:rsid w:val="00E50CBC"/>
    <w:rsid w:val="00E607CB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615263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5263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12</cp:revision>
  <cp:lastPrinted>2014-09-08T11:05:00Z</cp:lastPrinted>
  <dcterms:created xsi:type="dcterms:W3CDTF">2015-11-12T12:14:00Z</dcterms:created>
  <dcterms:modified xsi:type="dcterms:W3CDTF">2021-08-18T11:23:00Z</dcterms:modified>
</cp:coreProperties>
</file>