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101" w:rsidRDefault="00EE574D">
      <w:pPr>
        <w:pStyle w:val="Title"/>
        <w:rPr>
          <w:sz w:val="22"/>
          <w:szCs w:val="22"/>
        </w:rPr>
      </w:pPr>
      <w:r>
        <w:rPr>
          <w:noProof/>
          <w:lang w:val="en-IN"/>
        </w:rPr>
        <w:drawing>
          <wp:anchor distT="0" distB="0" distL="114300" distR="114300" simplePos="0" relativeHeight="251658240" behindDoc="0" locked="0" layoutInCell="1" hidden="0" allowOverlap="1">
            <wp:simplePos x="0" y="0"/>
            <wp:positionH relativeFrom="column">
              <wp:posOffset>770890</wp:posOffset>
            </wp:positionH>
            <wp:positionV relativeFrom="paragraph">
              <wp:posOffset>0</wp:posOffset>
            </wp:positionV>
            <wp:extent cx="4689475" cy="733425"/>
            <wp:effectExtent l="0" t="0" r="0" b="0"/>
            <wp:wrapSquare wrapText="bothSides" distT="0" distB="0" distL="114300" distR="11430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t="11453" b="12957"/>
                    <a:stretch>
                      <a:fillRect/>
                    </a:stretch>
                  </pic:blipFill>
                  <pic:spPr>
                    <a:xfrm>
                      <a:off x="0" y="0"/>
                      <a:ext cx="4689475" cy="733425"/>
                    </a:xfrm>
                    <a:prstGeom prst="rect">
                      <a:avLst/>
                    </a:prstGeom>
                    <a:ln/>
                  </pic:spPr>
                </pic:pic>
              </a:graphicData>
            </a:graphic>
          </wp:anchor>
        </w:drawing>
      </w:r>
    </w:p>
    <w:p w:rsidR="00357101" w:rsidRDefault="00EE574D">
      <w:pPr>
        <w:jc w:val="center"/>
        <w:rPr>
          <w:b/>
        </w:rPr>
      </w:pPr>
      <w:r>
        <w:rPr>
          <w:b/>
        </w:rPr>
        <w:t>SECOND SEMESTER 2021-2022</w:t>
      </w:r>
    </w:p>
    <w:p w:rsidR="00357101" w:rsidRDefault="00EE574D">
      <w:pPr>
        <w:pStyle w:val="Heading1"/>
      </w:pPr>
      <w:r>
        <w:t>(Course Handout Part II)</w:t>
      </w:r>
    </w:p>
    <w:p w:rsidR="00357101" w:rsidRDefault="00EE574D">
      <w:pPr>
        <w:ind w:left="7200"/>
      </w:pPr>
      <w:r>
        <w:t xml:space="preserve">                   </w:t>
      </w:r>
      <w:r>
        <w:rPr>
          <w:highlight w:val="white"/>
        </w:rPr>
        <w:t>Date: 03-01-2022</w:t>
      </w:r>
      <w:r>
        <w:t xml:space="preserve">  </w:t>
      </w:r>
    </w:p>
    <w:p w:rsidR="00357101" w:rsidRDefault="00EE574D">
      <w:pPr>
        <w:pBdr>
          <w:top w:val="nil"/>
          <w:left w:val="nil"/>
          <w:bottom w:val="nil"/>
          <w:right w:val="nil"/>
          <w:between w:val="nil"/>
        </w:pBdr>
        <w:jc w:val="both"/>
        <w:rPr>
          <w:color w:val="000000"/>
          <w:sz w:val="22"/>
          <w:szCs w:val="22"/>
        </w:rPr>
      </w:pPr>
      <w:r>
        <w:rPr>
          <w:color w:val="000000"/>
          <w:sz w:val="22"/>
          <w:szCs w:val="22"/>
        </w:rPr>
        <w:t>In addition to Part-I (General Handout for all courses appended to the time table) this portion gives further specific details regarding the course.</w:t>
      </w:r>
    </w:p>
    <w:p w:rsidR="00357101" w:rsidRDefault="00EE574D">
      <w:pPr>
        <w:jc w:val="both"/>
        <w:rPr>
          <w:b/>
          <w:sz w:val="22"/>
          <w:szCs w:val="22"/>
        </w:rPr>
      </w:pPr>
      <w:r>
        <w:rPr>
          <w:b/>
          <w:i/>
          <w:sz w:val="22"/>
          <w:szCs w:val="22"/>
        </w:rPr>
        <w:t>Course No.</w:t>
      </w:r>
      <w:r>
        <w:rPr>
          <w:b/>
          <w:sz w:val="22"/>
          <w:szCs w:val="22"/>
        </w:rPr>
        <w:tab/>
      </w:r>
      <w:proofErr w:type="gramStart"/>
      <w:r>
        <w:rPr>
          <w:b/>
          <w:sz w:val="22"/>
          <w:szCs w:val="22"/>
        </w:rPr>
        <w:tab/>
        <w:t xml:space="preserve"> :</w:t>
      </w:r>
      <w:proofErr w:type="gramEnd"/>
      <w:r>
        <w:rPr>
          <w:b/>
          <w:sz w:val="22"/>
          <w:szCs w:val="22"/>
        </w:rPr>
        <w:t xml:space="preserve"> BIO G542</w:t>
      </w:r>
    </w:p>
    <w:p w:rsidR="00357101" w:rsidRDefault="00EE574D">
      <w:pPr>
        <w:jc w:val="both"/>
        <w:rPr>
          <w:b/>
          <w:sz w:val="22"/>
          <w:szCs w:val="22"/>
        </w:rPr>
      </w:pPr>
      <w:r>
        <w:rPr>
          <w:b/>
          <w:i/>
          <w:sz w:val="22"/>
          <w:szCs w:val="22"/>
        </w:rPr>
        <w:t>Course title</w:t>
      </w:r>
      <w:r>
        <w:rPr>
          <w:b/>
          <w:sz w:val="22"/>
          <w:szCs w:val="22"/>
        </w:rPr>
        <w:tab/>
      </w:r>
      <w:proofErr w:type="gramStart"/>
      <w:r>
        <w:rPr>
          <w:b/>
          <w:sz w:val="22"/>
          <w:szCs w:val="22"/>
        </w:rPr>
        <w:tab/>
        <w:t xml:space="preserve"> :</w:t>
      </w:r>
      <w:proofErr w:type="gramEnd"/>
      <w:r>
        <w:rPr>
          <w:b/>
          <w:sz w:val="22"/>
          <w:szCs w:val="22"/>
        </w:rPr>
        <w:t xml:space="preserve"> Advanced Cell and Molecular Biology</w:t>
      </w:r>
    </w:p>
    <w:p w:rsidR="00357101" w:rsidRDefault="00EE574D">
      <w:pPr>
        <w:jc w:val="both"/>
        <w:rPr>
          <w:b/>
          <w:sz w:val="22"/>
          <w:szCs w:val="22"/>
        </w:rPr>
      </w:pPr>
      <w:r>
        <w:rPr>
          <w:b/>
          <w:i/>
          <w:sz w:val="22"/>
          <w:szCs w:val="22"/>
        </w:rPr>
        <w:t>Instructor-in-charge</w:t>
      </w:r>
      <w:r>
        <w:rPr>
          <w:b/>
          <w:sz w:val="22"/>
          <w:szCs w:val="22"/>
        </w:rPr>
        <w:t xml:space="preserve"> </w:t>
      </w:r>
      <w:proofErr w:type="gramStart"/>
      <w:r>
        <w:rPr>
          <w:b/>
          <w:sz w:val="22"/>
          <w:szCs w:val="22"/>
        </w:rPr>
        <w:tab/>
        <w:t xml:space="preserve"> :</w:t>
      </w:r>
      <w:proofErr w:type="gramEnd"/>
      <w:r>
        <w:rPr>
          <w:b/>
          <w:sz w:val="22"/>
          <w:szCs w:val="22"/>
        </w:rPr>
        <w:t xml:space="preserve"> PIYUS</w:t>
      </w:r>
      <w:r>
        <w:rPr>
          <w:b/>
          <w:sz w:val="22"/>
          <w:szCs w:val="22"/>
        </w:rPr>
        <w:t>H KHANDELIA</w:t>
      </w:r>
    </w:p>
    <w:p w:rsidR="00357101" w:rsidRDefault="00EE574D">
      <w:pPr>
        <w:jc w:val="both"/>
        <w:rPr>
          <w:b/>
          <w:sz w:val="22"/>
          <w:szCs w:val="22"/>
        </w:rPr>
      </w:pPr>
      <w:r>
        <w:rPr>
          <w:b/>
          <w:i/>
          <w:sz w:val="22"/>
          <w:szCs w:val="22"/>
        </w:rPr>
        <w:t xml:space="preserve">Lab Instructors            </w:t>
      </w:r>
      <w:proofErr w:type="gramStart"/>
      <w:r>
        <w:rPr>
          <w:b/>
          <w:i/>
          <w:sz w:val="22"/>
          <w:szCs w:val="22"/>
        </w:rPr>
        <w:t xml:space="preserve">  </w:t>
      </w:r>
      <w:r>
        <w:rPr>
          <w:b/>
          <w:sz w:val="22"/>
          <w:szCs w:val="22"/>
        </w:rPr>
        <w:t>:</w:t>
      </w:r>
      <w:proofErr w:type="gramEnd"/>
      <w:r>
        <w:rPr>
          <w:b/>
          <w:sz w:val="22"/>
          <w:szCs w:val="22"/>
        </w:rPr>
        <w:t xml:space="preserve"> </w:t>
      </w:r>
      <w:proofErr w:type="spellStart"/>
      <w:r>
        <w:rPr>
          <w:b/>
          <w:sz w:val="22"/>
          <w:szCs w:val="22"/>
        </w:rPr>
        <w:t>Dhansri</w:t>
      </w:r>
      <w:proofErr w:type="spellEnd"/>
      <w:r>
        <w:rPr>
          <w:b/>
          <w:sz w:val="22"/>
          <w:szCs w:val="22"/>
        </w:rPr>
        <w:t xml:space="preserve"> Krishnamurthy, </w:t>
      </w:r>
      <w:proofErr w:type="spellStart"/>
      <w:r>
        <w:rPr>
          <w:b/>
          <w:sz w:val="22"/>
          <w:szCs w:val="22"/>
        </w:rPr>
        <w:t>Murali</w:t>
      </w:r>
      <w:proofErr w:type="spellEnd"/>
      <w:r>
        <w:rPr>
          <w:b/>
          <w:sz w:val="22"/>
          <w:szCs w:val="22"/>
        </w:rPr>
        <w:t xml:space="preserve"> Krishna </w:t>
      </w:r>
      <w:proofErr w:type="spellStart"/>
      <w:r>
        <w:rPr>
          <w:b/>
          <w:sz w:val="22"/>
          <w:szCs w:val="22"/>
        </w:rPr>
        <w:t>Ramgopal</w:t>
      </w:r>
      <w:proofErr w:type="spellEnd"/>
      <w:r>
        <w:rPr>
          <w:b/>
          <w:sz w:val="22"/>
          <w:szCs w:val="22"/>
        </w:rPr>
        <w:t xml:space="preserve">, </w:t>
      </w:r>
      <w:proofErr w:type="spellStart"/>
      <w:r>
        <w:rPr>
          <w:b/>
          <w:sz w:val="22"/>
          <w:szCs w:val="22"/>
        </w:rPr>
        <w:t>Namita</w:t>
      </w:r>
      <w:proofErr w:type="spellEnd"/>
      <w:r>
        <w:rPr>
          <w:b/>
          <w:sz w:val="22"/>
          <w:szCs w:val="22"/>
        </w:rPr>
        <w:t xml:space="preserve"> Pandey, Mohammad </w:t>
      </w:r>
      <w:proofErr w:type="spellStart"/>
      <w:r>
        <w:rPr>
          <w:b/>
          <w:sz w:val="22"/>
          <w:szCs w:val="22"/>
        </w:rPr>
        <w:t>Mehaboob</w:t>
      </w:r>
      <w:proofErr w:type="spellEnd"/>
      <w:r>
        <w:rPr>
          <w:b/>
          <w:sz w:val="22"/>
          <w:szCs w:val="22"/>
        </w:rPr>
        <w:t xml:space="preserve"> </w:t>
      </w:r>
      <w:proofErr w:type="spellStart"/>
      <w:r>
        <w:rPr>
          <w:b/>
          <w:sz w:val="22"/>
          <w:szCs w:val="22"/>
        </w:rPr>
        <w:t>Subhani</w:t>
      </w:r>
      <w:proofErr w:type="spellEnd"/>
      <w:r>
        <w:rPr>
          <w:b/>
          <w:sz w:val="22"/>
          <w:szCs w:val="22"/>
        </w:rPr>
        <w:t xml:space="preserve"> Mustafa</w:t>
      </w:r>
    </w:p>
    <w:p w:rsidR="00357101" w:rsidRDefault="00357101">
      <w:pPr>
        <w:jc w:val="both"/>
        <w:rPr>
          <w:b/>
          <w:sz w:val="22"/>
          <w:szCs w:val="22"/>
        </w:rPr>
      </w:pPr>
    </w:p>
    <w:p w:rsidR="00357101" w:rsidRPr="00890FA5" w:rsidRDefault="00EE574D">
      <w:pPr>
        <w:numPr>
          <w:ilvl w:val="0"/>
          <w:numId w:val="1"/>
        </w:numPr>
        <w:ind w:hanging="720"/>
        <w:jc w:val="both"/>
        <w:rPr>
          <w:sz w:val="22"/>
          <w:szCs w:val="22"/>
        </w:rPr>
      </w:pPr>
      <w:r>
        <w:rPr>
          <w:b/>
          <w:sz w:val="22"/>
          <w:szCs w:val="22"/>
        </w:rPr>
        <w:t xml:space="preserve"> Course description: </w:t>
      </w:r>
    </w:p>
    <w:p w:rsidR="00890FA5" w:rsidRPr="00890FA5" w:rsidRDefault="00890FA5" w:rsidP="00890FA5">
      <w:pPr>
        <w:autoSpaceDE w:val="0"/>
        <w:autoSpaceDN w:val="0"/>
        <w:adjustRightInd w:val="0"/>
        <w:rPr>
          <w:sz w:val="22"/>
          <w:szCs w:val="22"/>
        </w:rPr>
      </w:pPr>
      <w:r w:rsidRPr="00890FA5">
        <w:rPr>
          <w:sz w:val="22"/>
          <w:szCs w:val="22"/>
        </w:rPr>
        <w:t>Eukaryotic cell cycle: restriction point, G1 phase progression,</w:t>
      </w:r>
      <w:r w:rsidRPr="00890FA5">
        <w:rPr>
          <w:sz w:val="22"/>
          <w:szCs w:val="22"/>
        </w:rPr>
        <w:t xml:space="preserve"> </w:t>
      </w:r>
      <w:r w:rsidRPr="00890FA5">
        <w:rPr>
          <w:sz w:val="22"/>
          <w:szCs w:val="22"/>
        </w:rPr>
        <w:t>role of cyclins, cancer cell cycles; growth factors and their interaction</w:t>
      </w:r>
      <w:r>
        <w:rPr>
          <w:sz w:val="22"/>
          <w:szCs w:val="22"/>
        </w:rPr>
        <w:t xml:space="preserve"> </w:t>
      </w:r>
      <w:r w:rsidRPr="00890FA5">
        <w:rPr>
          <w:sz w:val="22"/>
          <w:szCs w:val="22"/>
        </w:rPr>
        <w:t>with receptors: PDGF, EGF, VEGF, FGF, TGF; stress responses:</w:t>
      </w:r>
      <w:r w:rsidRPr="00890FA5">
        <w:rPr>
          <w:sz w:val="22"/>
          <w:szCs w:val="22"/>
        </w:rPr>
        <w:t xml:space="preserve"> </w:t>
      </w:r>
      <w:r w:rsidRPr="00890FA5">
        <w:rPr>
          <w:sz w:val="22"/>
          <w:szCs w:val="22"/>
        </w:rPr>
        <w:t>mechanisms molecular biology with special reference</w:t>
      </w:r>
      <w:r>
        <w:rPr>
          <w:sz w:val="22"/>
          <w:szCs w:val="22"/>
        </w:rPr>
        <w:t xml:space="preserve"> </w:t>
      </w:r>
      <w:r w:rsidRPr="00890FA5">
        <w:rPr>
          <w:sz w:val="22"/>
          <w:szCs w:val="22"/>
        </w:rPr>
        <w:t xml:space="preserve">to hypoxia; </w:t>
      </w:r>
      <w:proofErr w:type="spellStart"/>
      <w:r w:rsidRPr="00890FA5">
        <w:rPr>
          <w:sz w:val="22"/>
          <w:szCs w:val="22"/>
        </w:rPr>
        <w:t>extracelular</w:t>
      </w:r>
      <w:proofErr w:type="spellEnd"/>
      <w:r w:rsidRPr="00890FA5">
        <w:rPr>
          <w:sz w:val="22"/>
          <w:szCs w:val="22"/>
        </w:rPr>
        <w:t xml:space="preserve"> matrix and adhesion molecules; cytokines:</w:t>
      </w:r>
      <w:r w:rsidRPr="00890FA5">
        <w:rPr>
          <w:sz w:val="22"/>
          <w:szCs w:val="22"/>
        </w:rPr>
        <w:t xml:space="preserve"> </w:t>
      </w:r>
      <w:r w:rsidRPr="00890FA5">
        <w:rPr>
          <w:sz w:val="22"/>
          <w:szCs w:val="22"/>
        </w:rPr>
        <w:t>sources, molecular structure, targets and mechanisms of</w:t>
      </w:r>
      <w:r>
        <w:rPr>
          <w:sz w:val="22"/>
          <w:szCs w:val="22"/>
        </w:rPr>
        <w:t xml:space="preserve"> </w:t>
      </w:r>
      <w:r w:rsidRPr="00890FA5">
        <w:rPr>
          <w:sz w:val="22"/>
          <w:szCs w:val="22"/>
        </w:rPr>
        <w:t>action; apoptosis, caspases and necrosis</w:t>
      </w:r>
    </w:p>
    <w:p w:rsidR="00890FA5" w:rsidRDefault="00890FA5" w:rsidP="00890FA5">
      <w:pPr>
        <w:jc w:val="both"/>
        <w:rPr>
          <w:sz w:val="22"/>
          <w:szCs w:val="22"/>
        </w:rPr>
      </w:pPr>
    </w:p>
    <w:p w:rsidR="00357101" w:rsidRDefault="00EE574D">
      <w:pPr>
        <w:jc w:val="both"/>
        <w:rPr>
          <w:sz w:val="22"/>
          <w:szCs w:val="22"/>
        </w:rPr>
      </w:pPr>
      <w:r>
        <w:rPr>
          <w:sz w:val="22"/>
          <w:szCs w:val="22"/>
        </w:rPr>
        <w:t>This course will provide a flavor of some frontier areas in cell and molecular biology like c</w:t>
      </w:r>
      <w:r>
        <w:rPr>
          <w:sz w:val="22"/>
          <w:szCs w:val="22"/>
        </w:rPr>
        <w:t>ontrol of cell division, cell-cell recognition, cellular signaling mechanisms, cytokines and programmed cell death. The topics include: eukaryotic cell cycle - restriction point, G1 phase progression, role of cyclins, cancer cell cycles; growth factors and</w:t>
      </w:r>
      <w:r>
        <w:rPr>
          <w:sz w:val="22"/>
          <w:szCs w:val="22"/>
        </w:rPr>
        <w:t xml:space="preserve"> their interaction with receptors; stress responses: mechanisms and molecular biology with special reference to hypoxia; extracellular matrix and adhesion molecules; cytokines: sources, molecular structure, targets and mechanisms of action; apoptosis, casp</w:t>
      </w:r>
      <w:r>
        <w:rPr>
          <w:sz w:val="22"/>
          <w:szCs w:val="22"/>
        </w:rPr>
        <w:t>ases and necrosis.</w:t>
      </w:r>
    </w:p>
    <w:p w:rsidR="00357101" w:rsidRDefault="00357101">
      <w:pPr>
        <w:jc w:val="both"/>
        <w:rPr>
          <w:sz w:val="22"/>
          <w:szCs w:val="22"/>
        </w:rPr>
      </w:pPr>
    </w:p>
    <w:p w:rsidR="00357101" w:rsidRDefault="00EE574D">
      <w:pPr>
        <w:numPr>
          <w:ilvl w:val="0"/>
          <w:numId w:val="1"/>
        </w:numPr>
        <w:ind w:hanging="720"/>
        <w:jc w:val="both"/>
        <w:rPr>
          <w:sz w:val="22"/>
          <w:szCs w:val="22"/>
        </w:rPr>
      </w:pPr>
      <w:r>
        <w:rPr>
          <w:b/>
          <w:sz w:val="22"/>
          <w:szCs w:val="22"/>
        </w:rPr>
        <w:t xml:space="preserve"> Scope and objective of the course:</w:t>
      </w:r>
    </w:p>
    <w:p w:rsidR="00357101" w:rsidRDefault="00EE574D">
      <w:pPr>
        <w:pBdr>
          <w:top w:val="nil"/>
          <w:left w:val="nil"/>
          <w:bottom w:val="nil"/>
          <w:right w:val="nil"/>
          <w:between w:val="nil"/>
        </w:pBdr>
        <w:jc w:val="both"/>
        <w:rPr>
          <w:color w:val="000000"/>
          <w:sz w:val="22"/>
          <w:szCs w:val="22"/>
        </w:rPr>
      </w:pPr>
      <w:r>
        <w:rPr>
          <w:color w:val="000000"/>
          <w:sz w:val="22"/>
          <w:szCs w:val="22"/>
        </w:rPr>
        <w:t>After completing this course, students should be able to (</w:t>
      </w:r>
      <w:proofErr w:type="spellStart"/>
      <w:r>
        <w:rPr>
          <w:color w:val="000000"/>
          <w:sz w:val="22"/>
          <w:szCs w:val="22"/>
        </w:rPr>
        <w:t>i</w:t>
      </w:r>
      <w:proofErr w:type="spellEnd"/>
      <w:r>
        <w:rPr>
          <w:color w:val="000000"/>
          <w:sz w:val="22"/>
          <w:szCs w:val="22"/>
        </w:rPr>
        <w:t>) Understand and appreciate the complexities and intricacies of molecular signaling mechanisms of eukaryotic systems and their impact on deve</w:t>
      </w:r>
      <w:r>
        <w:rPr>
          <w:color w:val="000000"/>
          <w:sz w:val="22"/>
          <w:szCs w:val="22"/>
        </w:rPr>
        <w:t xml:space="preserve">lopment and disease (ii) Design and execute experiments for hypothesis validation independently (iii) Perform basic experiments for cell growth, division, cell death, cytotoxicity etc. </w:t>
      </w:r>
    </w:p>
    <w:p w:rsidR="00357101" w:rsidRDefault="00357101">
      <w:pPr>
        <w:pBdr>
          <w:top w:val="nil"/>
          <w:left w:val="nil"/>
          <w:bottom w:val="nil"/>
          <w:right w:val="nil"/>
          <w:between w:val="nil"/>
        </w:pBdr>
        <w:jc w:val="both"/>
        <w:rPr>
          <w:color w:val="000000"/>
          <w:sz w:val="22"/>
          <w:szCs w:val="22"/>
        </w:rPr>
      </w:pPr>
    </w:p>
    <w:p w:rsidR="00357101" w:rsidRDefault="00EE574D">
      <w:pPr>
        <w:pBdr>
          <w:top w:val="nil"/>
          <w:left w:val="nil"/>
          <w:bottom w:val="nil"/>
          <w:right w:val="nil"/>
          <w:between w:val="nil"/>
        </w:pBdr>
        <w:jc w:val="both"/>
        <w:rPr>
          <w:color w:val="000000"/>
          <w:sz w:val="22"/>
          <w:szCs w:val="22"/>
        </w:rPr>
      </w:pPr>
      <w:r>
        <w:rPr>
          <w:b/>
          <w:color w:val="000000"/>
          <w:sz w:val="22"/>
          <w:szCs w:val="22"/>
        </w:rPr>
        <w:t>3</w:t>
      </w:r>
      <w:r>
        <w:rPr>
          <w:color w:val="000000"/>
          <w:sz w:val="22"/>
          <w:szCs w:val="22"/>
        </w:rPr>
        <w:t xml:space="preserve">. </w:t>
      </w:r>
      <w:r>
        <w:rPr>
          <w:b/>
          <w:color w:val="000000"/>
          <w:sz w:val="22"/>
          <w:szCs w:val="22"/>
        </w:rPr>
        <w:t>Text Books:</w:t>
      </w:r>
      <w:r>
        <w:rPr>
          <w:color w:val="000000"/>
          <w:sz w:val="22"/>
          <w:szCs w:val="22"/>
        </w:rPr>
        <w:t xml:space="preserve"> </w:t>
      </w:r>
    </w:p>
    <w:p w:rsidR="00357101" w:rsidRDefault="00EE574D">
      <w:pPr>
        <w:pBdr>
          <w:top w:val="nil"/>
          <w:left w:val="nil"/>
          <w:bottom w:val="nil"/>
          <w:right w:val="nil"/>
          <w:between w:val="nil"/>
        </w:pBdr>
        <w:jc w:val="both"/>
        <w:rPr>
          <w:color w:val="000000"/>
          <w:sz w:val="22"/>
          <w:szCs w:val="22"/>
        </w:rPr>
      </w:pPr>
      <w:r>
        <w:rPr>
          <w:b/>
          <w:color w:val="000000"/>
          <w:sz w:val="22"/>
          <w:szCs w:val="22"/>
        </w:rPr>
        <w:t>T1.</w:t>
      </w:r>
      <w:r>
        <w:rPr>
          <w:color w:val="000000"/>
          <w:sz w:val="22"/>
          <w:szCs w:val="22"/>
        </w:rPr>
        <w:t xml:space="preserve"> Molecular Biology of the Cell (5</w:t>
      </w:r>
      <w:r>
        <w:rPr>
          <w:color w:val="000000"/>
          <w:sz w:val="22"/>
          <w:szCs w:val="22"/>
          <w:vertAlign w:val="superscript"/>
        </w:rPr>
        <w:t>th</w:t>
      </w:r>
      <w:r>
        <w:rPr>
          <w:color w:val="000000"/>
          <w:sz w:val="22"/>
          <w:szCs w:val="22"/>
        </w:rPr>
        <w:t xml:space="preserve"> edition), Bruce Alberts, Alexander Johnson, Julian Lewis, Martin Raff, Keith Roberts and Peter Walter. Garland Publishing Inc., New York and London, 2008.</w:t>
      </w:r>
    </w:p>
    <w:p w:rsidR="00357101" w:rsidRDefault="00357101">
      <w:pPr>
        <w:pBdr>
          <w:top w:val="nil"/>
          <w:left w:val="nil"/>
          <w:bottom w:val="nil"/>
          <w:right w:val="nil"/>
          <w:between w:val="nil"/>
        </w:pBdr>
        <w:jc w:val="both"/>
        <w:rPr>
          <w:color w:val="000000"/>
          <w:sz w:val="22"/>
          <w:szCs w:val="22"/>
        </w:rPr>
      </w:pPr>
    </w:p>
    <w:p w:rsidR="00357101" w:rsidRDefault="00EE574D">
      <w:pPr>
        <w:pBdr>
          <w:top w:val="nil"/>
          <w:left w:val="nil"/>
          <w:bottom w:val="nil"/>
          <w:right w:val="nil"/>
          <w:between w:val="nil"/>
        </w:pBdr>
        <w:jc w:val="both"/>
        <w:rPr>
          <w:color w:val="000000"/>
          <w:sz w:val="22"/>
          <w:szCs w:val="22"/>
        </w:rPr>
      </w:pPr>
      <w:r>
        <w:rPr>
          <w:b/>
          <w:color w:val="000000"/>
          <w:sz w:val="22"/>
          <w:szCs w:val="22"/>
        </w:rPr>
        <w:t xml:space="preserve">4. Reference Books: </w:t>
      </w:r>
      <w:r>
        <w:rPr>
          <w:color w:val="000000"/>
          <w:sz w:val="22"/>
          <w:szCs w:val="22"/>
        </w:rPr>
        <w:t xml:space="preserve"> </w:t>
      </w:r>
    </w:p>
    <w:p w:rsidR="00357101" w:rsidRDefault="00EE574D">
      <w:pPr>
        <w:pBdr>
          <w:top w:val="nil"/>
          <w:left w:val="nil"/>
          <w:bottom w:val="nil"/>
          <w:right w:val="nil"/>
          <w:between w:val="nil"/>
        </w:pBdr>
        <w:jc w:val="both"/>
        <w:rPr>
          <w:color w:val="000000"/>
          <w:sz w:val="22"/>
          <w:szCs w:val="22"/>
        </w:rPr>
      </w:pPr>
      <w:r>
        <w:rPr>
          <w:b/>
          <w:color w:val="000000"/>
          <w:sz w:val="22"/>
          <w:szCs w:val="22"/>
        </w:rPr>
        <w:t>R1.</w:t>
      </w:r>
      <w:r>
        <w:rPr>
          <w:color w:val="000000"/>
          <w:sz w:val="22"/>
          <w:szCs w:val="22"/>
        </w:rPr>
        <w:t xml:space="preserve"> Molecular Cell Biology (4</w:t>
      </w:r>
      <w:r>
        <w:rPr>
          <w:color w:val="000000"/>
          <w:sz w:val="22"/>
          <w:szCs w:val="22"/>
          <w:vertAlign w:val="superscript"/>
        </w:rPr>
        <w:t>th</w:t>
      </w:r>
      <w:r>
        <w:rPr>
          <w:color w:val="000000"/>
          <w:sz w:val="22"/>
          <w:szCs w:val="22"/>
        </w:rPr>
        <w:t xml:space="preserve"> edition), Harvey </w:t>
      </w:r>
      <w:proofErr w:type="spellStart"/>
      <w:r>
        <w:rPr>
          <w:color w:val="000000"/>
          <w:sz w:val="22"/>
          <w:szCs w:val="22"/>
        </w:rPr>
        <w:t>Lodish</w:t>
      </w:r>
      <w:proofErr w:type="spellEnd"/>
      <w:r>
        <w:rPr>
          <w:color w:val="000000"/>
          <w:sz w:val="22"/>
          <w:szCs w:val="22"/>
        </w:rPr>
        <w:t xml:space="preserve">, Arnold </w:t>
      </w:r>
      <w:proofErr w:type="spellStart"/>
      <w:r>
        <w:rPr>
          <w:color w:val="000000"/>
          <w:sz w:val="22"/>
          <w:szCs w:val="22"/>
        </w:rPr>
        <w:t>Berk</w:t>
      </w:r>
      <w:proofErr w:type="spellEnd"/>
      <w:r>
        <w:rPr>
          <w:color w:val="000000"/>
          <w:sz w:val="22"/>
          <w:szCs w:val="22"/>
        </w:rPr>
        <w:t xml:space="preserve">, S Lawrence </w:t>
      </w:r>
      <w:proofErr w:type="spellStart"/>
      <w:r>
        <w:rPr>
          <w:color w:val="000000"/>
          <w:sz w:val="22"/>
          <w:szCs w:val="22"/>
        </w:rPr>
        <w:t>Zipursky</w:t>
      </w:r>
      <w:proofErr w:type="spellEnd"/>
      <w:r>
        <w:rPr>
          <w:color w:val="000000"/>
          <w:sz w:val="22"/>
          <w:szCs w:val="22"/>
        </w:rPr>
        <w:t xml:space="preserve">, Paul </w:t>
      </w:r>
      <w:proofErr w:type="spellStart"/>
      <w:r>
        <w:rPr>
          <w:color w:val="000000"/>
          <w:sz w:val="22"/>
          <w:szCs w:val="22"/>
        </w:rPr>
        <w:t>Matsudaira</w:t>
      </w:r>
      <w:proofErr w:type="spellEnd"/>
      <w:r>
        <w:rPr>
          <w:color w:val="000000"/>
          <w:sz w:val="22"/>
          <w:szCs w:val="22"/>
        </w:rPr>
        <w:t>, David Baltimore, and James Darnell. W.H. Freeman and Company, 2000.</w:t>
      </w:r>
    </w:p>
    <w:p w:rsidR="00357101" w:rsidRDefault="00357101">
      <w:pPr>
        <w:pBdr>
          <w:top w:val="nil"/>
          <w:left w:val="nil"/>
          <w:bottom w:val="nil"/>
          <w:right w:val="nil"/>
          <w:between w:val="nil"/>
        </w:pBdr>
        <w:jc w:val="both"/>
        <w:rPr>
          <w:color w:val="000000"/>
          <w:sz w:val="22"/>
          <w:szCs w:val="22"/>
        </w:rPr>
      </w:pPr>
    </w:p>
    <w:p w:rsidR="00357101" w:rsidRDefault="00EE574D">
      <w:pPr>
        <w:pBdr>
          <w:top w:val="nil"/>
          <w:left w:val="nil"/>
          <w:bottom w:val="nil"/>
          <w:right w:val="nil"/>
          <w:between w:val="nil"/>
        </w:pBdr>
        <w:jc w:val="both"/>
        <w:rPr>
          <w:b/>
          <w:color w:val="000000"/>
          <w:sz w:val="22"/>
          <w:szCs w:val="22"/>
        </w:rPr>
      </w:pPr>
      <w:r>
        <w:rPr>
          <w:b/>
          <w:color w:val="000000"/>
          <w:sz w:val="22"/>
          <w:szCs w:val="22"/>
        </w:rPr>
        <w:t>5.</w:t>
      </w:r>
      <w:r>
        <w:rPr>
          <w:color w:val="000000"/>
          <w:sz w:val="22"/>
          <w:szCs w:val="22"/>
        </w:rPr>
        <w:t xml:space="preserve"> </w:t>
      </w:r>
      <w:r>
        <w:rPr>
          <w:b/>
          <w:color w:val="000000"/>
          <w:sz w:val="22"/>
          <w:szCs w:val="22"/>
        </w:rPr>
        <w:t xml:space="preserve"> Course Plan:</w:t>
      </w:r>
    </w:p>
    <w:p w:rsidR="00357101" w:rsidRDefault="00357101">
      <w:pPr>
        <w:pBdr>
          <w:top w:val="nil"/>
          <w:left w:val="nil"/>
          <w:bottom w:val="nil"/>
          <w:right w:val="nil"/>
          <w:between w:val="nil"/>
        </w:pBdr>
        <w:jc w:val="both"/>
        <w:rPr>
          <w:b/>
          <w:color w:val="000000"/>
          <w:sz w:val="22"/>
          <w:szCs w:val="22"/>
        </w:rPr>
      </w:pPr>
    </w:p>
    <w:tbl>
      <w:tblPr>
        <w:tblStyle w:val="a"/>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2551"/>
        <w:gridCol w:w="4394"/>
        <w:gridCol w:w="2268"/>
      </w:tblGrid>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rPr>
                <w:b/>
                <w:sz w:val="22"/>
                <w:szCs w:val="22"/>
              </w:rPr>
            </w:pPr>
            <w:r>
              <w:rPr>
                <w:b/>
                <w:sz w:val="22"/>
                <w:szCs w:val="22"/>
              </w:rPr>
              <w:t>Lecture No.</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keepNext/>
              <w:rPr>
                <w:b/>
                <w:sz w:val="22"/>
                <w:szCs w:val="22"/>
              </w:rPr>
            </w:pPr>
            <w:r>
              <w:rPr>
                <w:b/>
                <w:sz w:val="22"/>
                <w:szCs w:val="22"/>
              </w:rPr>
              <w:t>Learning Objectives</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keepNext/>
              <w:rPr>
                <w:b/>
                <w:sz w:val="22"/>
                <w:szCs w:val="22"/>
              </w:rPr>
            </w:pPr>
            <w:r>
              <w:rPr>
                <w:b/>
                <w:sz w:val="22"/>
                <w:szCs w:val="22"/>
              </w:rPr>
              <w:t>Topics to be covered</w:t>
            </w: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b/>
                <w:sz w:val="22"/>
                <w:szCs w:val="22"/>
              </w:rPr>
            </w:pPr>
            <w:r>
              <w:rPr>
                <w:b/>
                <w:sz w:val="22"/>
                <w:szCs w:val="22"/>
              </w:rPr>
              <w:t xml:space="preserve">Ref* Chap/Sec#        (Book) </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t>1</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Introd</w:t>
            </w:r>
            <w:r>
              <w:rPr>
                <w:sz w:val="22"/>
                <w:szCs w:val="22"/>
              </w:rPr>
              <w:t xml:space="preserve">uction </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 xml:space="preserve">Course handout and basic cell and molecular biology </w:t>
            </w:r>
          </w:p>
          <w:p w:rsidR="00357101" w:rsidRDefault="00357101">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t>2-10</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Cell division control in multicellular organisms</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 xml:space="preserve">Overview of cell cycle, different phases, cell cycle control in eukaryotes, components of cell cycle control system, intracellular control of </w:t>
            </w:r>
            <w:r>
              <w:rPr>
                <w:sz w:val="22"/>
                <w:szCs w:val="22"/>
              </w:rPr>
              <w:lastRenderedPageBreak/>
              <w:t xml:space="preserve">cell cycle events, role of </w:t>
            </w:r>
            <w:proofErr w:type="spellStart"/>
            <w:r>
              <w:rPr>
                <w:sz w:val="22"/>
                <w:szCs w:val="22"/>
              </w:rPr>
              <w:t>Rb</w:t>
            </w:r>
            <w:proofErr w:type="spellEnd"/>
            <w:r>
              <w:rPr>
                <w:sz w:val="22"/>
                <w:szCs w:val="22"/>
              </w:rPr>
              <w:t xml:space="preserve"> and p53 in cell cycle control</w:t>
            </w:r>
          </w:p>
          <w:p w:rsidR="00357101" w:rsidRDefault="00357101">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lastRenderedPageBreak/>
              <w:t>T1: Chapter 17</w:t>
            </w:r>
          </w:p>
          <w:p w:rsidR="00357101" w:rsidRDefault="00EE574D">
            <w:pPr>
              <w:rPr>
                <w:sz w:val="22"/>
                <w:szCs w:val="22"/>
              </w:rPr>
            </w:pPr>
            <w:r>
              <w:rPr>
                <w:sz w:val="22"/>
                <w:szCs w:val="22"/>
              </w:rPr>
              <w:t>Pg. 1053-1113</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lastRenderedPageBreak/>
              <w:t>11-13</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Cell cycle and ca</w:t>
            </w:r>
            <w:r>
              <w:rPr>
                <w:sz w:val="22"/>
                <w:szCs w:val="22"/>
              </w:rPr>
              <w:t>ncer</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 xml:space="preserve">Cancer as </w:t>
            </w:r>
            <w:proofErr w:type="spellStart"/>
            <w:r>
              <w:rPr>
                <w:sz w:val="22"/>
                <w:szCs w:val="22"/>
              </w:rPr>
              <w:t>multievolutionary</w:t>
            </w:r>
            <w:proofErr w:type="spellEnd"/>
            <w:r>
              <w:rPr>
                <w:sz w:val="22"/>
                <w:szCs w:val="22"/>
              </w:rPr>
              <w:t xml:space="preserve"> process, cancer critical genes, molecular basis of cancer - cell behavior</w:t>
            </w: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T1: Chapter 20</w:t>
            </w:r>
          </w:p>
          <w:p w:rsidR="00357101" w:rsidRDefault="00EE574D">
            <w:pPr>
              <w:rPr>
                <w:sz w:val="22"/>
                <w:szCs w:val="22"/>
              </w:rPr>
            </w:pPr>
            <w:r>
              <w:rPr>
                <w:sz w:val="22"/>
                <w:szCs w:val="22"/>
              </w:rPr>
              <w:t>Pg. 1205-1267</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t>14-16</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Apoptosis or programmed cell death</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keepNext/>
              <w:rPr>
                <w:sz w:val="22"/>
                <w:szCs w:val="22"/>
              </w:rPr>
            </w:pPr>
            <w:r>
              <w:rPr>
                <w:sz w:val="22"/>
                <w:szCs w:val="22"/>
              </w:rPr>
              <w:t>Mechanism of cell death with special reference to apoptosis and necrosis, cascade of apoptosis implications</w:t>
            </w: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T1: Chapter 18</w:t>
            </w:r>
          </w:p>
          <w:p w:rsidR="00357101" w:rsidRDefault="00EE574D">
            <w:pPr>
              <w:rPr>
                <w:sz w:val="22"/>
                <w:szCs w:val="22"/>
              </w:rPr>
            </w:pPr>
            <w:r>
              <w:rPr>
                <w:sz w:val="22"/>
                <w:szCs w:val="22"/>
              </w:rPr>
              <w:t>Pg. 1115-1129</w:t>
            </w:r>
          </w:p>
          <w:p w:rsidR="00357101" w:rsidRDefault="00EE574D">
            <w:pPr>
              <w:rPr>
                <w:sz w:val="22"/>
                <w:szCs w:val="22"/>
              </w:rPr>
            </w:pPr>
            <w:r>
              <w:rPr>
                <w:sz w:val="22"/>
                <w:szCs w:val="22"/>
              </w:rPr>
              <w:t>Additional references will be given</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t>17-18</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Cell-cell recognition and cell-cell adhesion</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Cell junctions and gap junction</w:t>
            </w:r>
            <w:r>
              <w:rPr>
                <w:sz w:val="22"/>
                <w:szCs w:val="22"/>
              </w:rPr>
              <w:t>s, Role of CAMs in cell attachment</w:t>
            </w:r>
          </w:p>
          <w:p w:rsidR="00357101" w:rsidRDefault="00EE574D">
            <w:pPr>
              <w:rPr>
                <w:sz w:val="22"/>
                <w:szCs w:val="22"/>
              </w:rPr>
            </w:pPr>
            <w:r>
              <w:rPr>
                <w:sz w:val="22"/>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T1: Chapter 19</w:t>
            </w:r>
          </w:p>
          <w:p w:rsidR="00357101" w:rsidRDefault="00EE574D">
            <w:pPr>
              <w:rPr>
                <w:sz w:val="22"/>
                <w:szCs w:val="22"/>
              </w:rPr>
            </w:pPr>
            <w:r>
              <w:rPr>
                <w:sz w:val="22"/>
                <w:szCs w:val="22"/>
              </w:rPr>
              <w:t>Pg. 1131-1178</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t>19-20</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Extracellular Matrix of animals</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 xml:space="preserve">Components of ECM, role of ECM in bi-directional signaling, </w:t>
            </w:r>
            <w:proofErr w:type="spellStart"/>
            <w:r>
              <w:rPr>
                <w:sz w:val="22"/>
                <w:szCs w:val="22"/>
              </w:rPr>
              <w:t>integrins</w:t>
            </w:r>
            <w:proofErr w:type="spellEnd"/>
          </w:p>
          <w:p w:rsidR="00357101" w:rsidRDefault="00357101">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T1: Chapter 19</w:t>
            </w:r>
          </w:p>
          <w:p w:rsidR="00357101" w:rsidRDefault="00EE574D">
            <w:pPr>
              <w:rPr>
                <w:sz w:val="22"/>
                <w:szCs w:val="22"/>
              </w:rPr>
            </w:pPr>
            <w:r>
              <w:rPr>
                <w:sz w:val="22"/>
                <w:szCs w:val="22"/>
              </w:rPr>
              <w:t>Pg. 1179-1204</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t>21-31</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Signal transduction and cell communication</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Mechanisms of signal transduction by cell surface receptor proteins, growth factors and their interaction with receptors in cell proliferation and its regulation</w:t>
            </w:r>
          </w:p>
          <w:p w:rsidR="00357101" w:rsidRDefault="00357101">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T1: Chapter 15</w:t>
            </w:r>
          </w:p>
          <w:p w:rsidR="00357101" w:rsidRDefault="00EE574D">
            <w:pPr>
              <w:rPr>
                <w:sz w:val="22"/>
                <w:szCs w:val="22"/>
              </w:rPr>
            </w:pPr>
            <w:r>
              <w:rPr>
                <w:sz w:val="22"/>
                <w:szCs w:val="22"/>
              </w:rPr>
              <w:t>Pg. 879-964 Additional material will be provided</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t>32-33</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Signal transduction pa</w:t>
            </w:r>
            <w:r>
              <w:rPr>
                <w:sz w:val="22"/>
                <w:szCs w:val="22"/>
              </w:rPr>
              <w:t>thway by various cytokines</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Cytokine sources, molecular structures, JAK STAT pathway</w:t>
            </w: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T1: Chapter 15</w:t>
            </w:r>
          </w:p>
          <w:p w:rsidR="00357101" w:rsidRDefault="00EE574D">
            <w:pPr>
              <w:rPr>
                <w:sz w:val="22"/>
                <w:szCs w:val="22"/>
              </w:rPr>
            </w:pPr>
            <w:r>
              <w:rPr>
                <w:sz w:val="22"/>
                <w:szCs w:val="22"/>
              </w:rPr>
              <w:t>Pg. 879-964 Additional material will be provided</w:t>
            </w:r>
          </w:p>
        </w:tc>
      </w:tr>
      <w:tr w:rsidR="00357101">
        <w:trPr>
          <w:trHeight w:val="769"/>
        </w:trPr>
        <w:tc>
          <w:tcPr>
            <w:tcW w:w="988" w:type="dxa"/>
            <w:tcBorders>
              <w:top w:val="single" w:sz="4" w:space="0" w:color="000000"/>
              <w:left w:val="single" w:sz="4" w:space="0" w:color="000000"/>
              <w:right w:val="single" w:sz="4" w:space="0" w:color="000000"/>
            </w:tcBorders>
          </w:tcPr>
          <w:p w:rsidR="00357101" w:rsidRDefault="00EE574D">
            <w:pPr>
              <w:jc w:val="center"/>
              <w:rPr>
                <w:sz w:val="22"/>
                <w:szCs w:val="22"/>
              </w:rPr>
            </w:pPr>
            <w:r>
              <w:rPr>
                <w:sz w:val="22"/>
                <w:szCs w:val="22"/>
              </w:rPr>
              <w:t>34-35</w:t>
            </w:r>
          </w:p>
        </w:tc>
        <w:tc>
          <w:tcPr>
            <w:tcW w:w="2551" w:type="dxa"/>
            <w:tcBorders>
              <w:top w:val="single" w:sz="4" w:space="0" w:color="000000"/>
              <w:left w:val="single" w:sz="4" w:space="0" w:color="000000"/>
              <w:right w:val="single" w:sz="4" w:space="0" w:color="000000"/>
            </w:tcBorders>
          </w:tcPr>
          <w:p w:rsidR="00357101" w:rsidRDefault="00EE574D">
            <w:pPr>
              <w:rPr>
                <w:sz w:val="22"/>
                <w:szCs w:val="22"/>
              </w:rPr>
            </w:pPr>
            <w:r>
              <w:rPr>
                <w:sz w:val="22"/>
                <w:szCs w:val="22"/>
              </w:rPr>
              <w:t>Oxygen regulated gene expression and angiogenesis</w:t>
            </w:r>
          </w:p>
        </w:tc>
        <w:tc>
          <w:tcPr>
            <w:tcW w:w="4394" w:type="dxa"/>
            <w:tcBorders>
              <w:top w:val="single" w:sz="4" w:space="0" w:color="000000"/>
              <w:left w:val="single" w:sz="4" w:space="0" w:color="000000"/>
              <w:right w:val="single" w:sz="4" w:space="0" w:color="000000"/>
            </w:tcBorders>
          </w:tcPr>
          <w:p w:rsidR="00357101" w:rsidRDefault="00EE574D">
            <w:pPr>
              <w:rPr>
                <w:sz w:val="22"/>
                <w:szCs w:val="22"/>
              </w:rPr>
            </w:pPr>
            <w:r>
              <w:rPr>
                <w:sz w:val="22"/>
                <w:szCs w:val="22"/>
              </w:rPr>
              <w:t>Hypoxia – pathways and regulation; angiogenesis control</w:t>
            </w:r>
          </w:p>
        </w:tc>
        <w:tc>
          <w:tcPr>
            <w:tcW w:w="2268" w:type="dxa"/>
            <w:tcBorders>
              <w:top w:val="single" w:sz="4" w:space="0" w:color="000000"/>
              <w:left w:val="single" w:sz="4" w:space="0" w:color="000000"/>
              <w:right w:val="single" w:sz="4" w:space="0" w:color="000000"/>
            </w:tcBorders>
          </w:tcPr>
          <w:p w:rsidR="00357101" w:rsidRDefault="00EE574D">
            <w:pPr>
              <w:rPr>
                <w:sz w:val="22"/>
                <w:szCs w:val="22"/>
              </w:rPr>
            </w:pPr>
            <w:r>
              <w:rPr>
                <w:sz w:val="22"/>
                <w:szCs w:val="22"/>
              </w:rPr>
              <w:t>References will be given - Journal articles and reviews</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t>36-37</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Signal-mediated transport through nuclear pore complex</w:t>
            </w:r>
          </w:p>
          <w:p w:rsidR="00357101" w:rsidRDefault="00357101">
            <w:pPr>
              <w:rPr>
                <w:sz w:val="22"/>
                <w:szCs w:val="22"/>
              </w:rPr>
            </w:pP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keepNext/>
              <w:rPr>
                <w:sz w:val="22"/>
                <w:szCs w:val="22"/>
              </w:rPr>
            </w:pPr>
            <w:r>
              <w:rPr>
                <w:sz w:val="22"/>
                <w:szCs w:val="22"/>
              </w:rPr>
              <w:t xml:space="preserve">Mechanism for the transport of “Cargo” proteins, mechanism for </w:t>
            </w:r>
            <w:proofErr w:type="spellStart"/>
            <w:r>
              <w:rPr>
                <w:sz w:val="22"/>
                <w:szCs w:val="22"/>
              </w:rPr>
              <w:t>hnRNP</w:t>
            </w:r>
            <w:proofErr w:type="spellEnd"/>
            <w:r>
              <w:rPr>
                <w:sz w:val="22"/>
                <w:szCs w:val="22"/>
              </w:rPr>
              <w:t xml:space="preserve"> protein mediated export of RNA from the nucleus</w:t>
            </w:r>
          </w:p>
          <w:p w:rsidR="00357101" w:rsidRDefault="00357101">
            <w:pPr>
              <w:keepNext/>
              <w:rPr>
                <w:sz w:val="22"/>
                <w:szCs w:val="22"/>
              </w:rPr>
            </w:pP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T1 Chapter 12</w:t>
            </w:r>
          </w:p>
          <w:p w:rsidR="00357101" w:rsidRDefault="00EE574D">
            <w:pPr>
              <w:rPr>
                <w:sz w:val="22"/>
                <w:szCs w:val="22"/>
              </w:rPr>
            </w:pPr>
            <w:r>
              <w:rPr>
                <w:sz w:val="22"/>
                <w:szCs w:val="22"/>
              </w:rPr>
              <w:t>Pg. 695-712</w:t>
            </w:r>
          </w:p>
        </w:tc>
      </w:tr>
      <w:tr w:rsidR="00357101">
        <w:tc>
          <w:tcPr>
            <w:tcW w:w="988" w:type="dxa"/>
            <w:tcBorders>
              <w:top w:val="single" w:sz="4" w:space="0" w:color="000000"/>
              <w:left w:val="single" w:sz="4" w:space="0" w:color="000000"/>
              <w:bottom w:val="single" w:sz="4" w:space="0" w:color="000000"/>
              <w:right w:val="single" w:sz="4" w:space="0" w:color="000000"/>
            </w:tcBorders>
          </w:tcPr>
          <w:p w:rsidR="00357101" w:rsidRDefault="00EE574D">
            <w:pPr>
              <w:jc w:val="center"/>
              <w:rPr>
                <w:sz w:val="22"/>
                <w:szCs w:val="22"/>
              </w:rPr>
            </w:pPr>
            <w:r>
              <w:rPr>
                <w:sz w:val="22"/>
                <w:szCs w:val="22"/>
              </w:rPr>
              <w:t>38-40</w:t>
            </w:r>
          </w:p>
        </w:tc>
        <w:tc>
          <w:tcPr>
            <w:tcW w:w="2551"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Protein folding and  correction of misfolded protein</w:t>
            </w:r>
          </w:p>
        </w:tc>
        <w:tc>
          <w:tcPr>
            <w:tcW w:w="4394" w:type="dxa"/>
            <w:tcBorders>
              <w:top w:val="single" w:sz="4" w:space="0" w:color="000000"/>
              <w:left w:val="single" w:sz="4" w:space="0" w:color="000000"/>
              <w:bottom w:val="single" w:sz="4" w:space="0" w:color="000000"/>
              <w:right w:val="single" w:sz="4" w:space="0" w:color="000000"/>
            </w:tcBorders>
          </w:tcPr>
          <w:p w:rsidR="00357101" w:rsidRDefault="00EE574D">
            <w:pPr>
              <w:keepNext/>
              <w:rPr>
                <w:sz w:val="22"/>
                <w:szCs w:val="22"/>
              </w:rPr>
            </w:pPr>
            <w:r>
              <w:rPr>
                <w:sz w:val="22"/>
                <w:szCs w:val="22"/>
              </w:rPr>
              <w:t xml:space="preserve">Mechanism of protein folding in </w:t>
            </w:r>
            <w:r>
              <w:rPr>
                <w:i/>
                <w:sz w:val="22"/>
                <w:szCs w:val="22"/>
              </w:rPr>
              <w:t>E. coli</w:t>
            </w:r>
            <w:r>
              <w:rPr>
                <w:sz w:val="22"/>
                <w:szCs w:val="22"/>
              </w:rPr>
              <w:t xml:space="preserve"> and mammalian systems, Molecular chaperones</w:t>
            </w:r>
          </w:p>
          <w:p w:rsidR="00357101" w:rsidRDefault="00357101">
            <w:pPr>
              <w:keepNext/>
              <w:rPr>
                <w:sz w:val="22"/>
                <w:szCs w:val="22"/>
              </w:rPr>
            </w:pPr>
          </w:p>
        </w:tc>
        <w:tc>
          <w:tcPr>
            <w:tcW w:w="2268" w:type="dxa"/>
            <w:tcBorders>
              <w:top w:val="single" w:sz="4" w:space="0" w:color="000000"/>
              <w:left w:val="single" w:sz="4" w:space="0" w:color="000000"/>
              <w:bottom w:val="single" w:sz="4" w:space="0" w:color="000000"/>
              <w:right w:val="single" w:sz="4" w:space="0" w:color="000000"/>
            </w:tcBorders>
          </w:tcPr>
          <w:p w:rsidR="00357101" w:rsidRDefault="00EE574D">
            <w:pPr>
              <w:rPr>
                <w:sz w:val="22"/>
                <w:szCs w:val="22"/>
              </w:rPr>
            </w:pPr>
            <w:r>
              <w:rPr>
                <w:sz w:val="22"/>
                <w:szCs w:val="22"/>
              </w:rPr>
              <w:t>References will be given - Journal articles and reviews</w:t>
            </w:r>
          </w:p>
        </w:tc>
      </w:tr>
    </w:tbl>
    <w:p w:rsidR="00357101" w:rsidRDefault="00357101">
      <w:pPr>
        <w:pBdr>
          <w:top w:val="nil"/>
          <w:left w:val="nil"/>
          <w:bottom w:val="nil"/>
          <w:right w:val="nil"/>
          <w:between w:val="nil"/>
        </w:pBdr>
        <w:jc w:val="both"/>
        <w:rPr>
          <w:b/>
          <w:color w:val="000000"/>
          <w:sz w:val="22"/>
          <w:szCs w:val="22"/>
        </w:rPr>
      </w:pPr>
    </w:p>
    <w:p w:rsidR="00357101" w:rsidRDefault="00EE574D">
      <w:pPr>
        <w:jc w:val="both"/>
        <w:rPr>
          <w:b/>
          <w:sz w:val="22"/>
          <w:szCs w:val="22"/>
        </w:rPr>
      </w:pPr>
      <w:r>
        <w:rPr>
          <w:b/>
          <w:sz w:val="22"/>
          <w:szCs w:val="22"/>
        </w:rPr>
        <w:t>Laboratory Component:</w:t>
      </w:r>
    </w:p>
    <w:p w:rsidR="00357101" w:rsidRDefault="00357101">
      <w:pPr>
        <w:jc w:val="both"/>
        <w:rPr>
          <w:b/>
          <w:sz w:val="22"/>
          <w:szCs w:val="22"/>
        </w:rPr>
      </w:pPr>
    </w:p>
    <w:tbl>
      <w:tblPr>
        <w:tblStyle w:val="a0"/>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646"/>
      </w:tblGrid>
      <w:tr w:rsidR="00357101">
        <w:trPr>
          <w:trHeight w:val="309"/>
        </w:trPr>
        <w:tc>
          <w:tcPr>
            <w:tcW w:w="1555" w:type="dxa"/>
            <w:shd w:val="clear" w:color="auto" w:fill="auto"/>
          </w:tcPr>
          <w:p w:rsidR="00357101" w:rsidRDefault="00EE574D">
            <w:pPr>
              <w:spacing w:before="240"/>
              <w:ind w:left="360"/>
              <w:rPr>
                <w:b/>
                <w:sz w:val="22"/>
                <w:szCs w:val="22"/>
              </w:rPr>
            </w:pPr>
            <w:r>
              <w:rPr>
                <w:b/>
                <w:sz w:val="22"/>
                <w:szCs w:val="22"/>
              </w:rPr>
              <w:t xml:space="preserve">Expt. No. </w:t>
            </w:r>
          </w:p>
        </w:tc>
        <w:tc>
          <w:tcPr>
            <w:tcW w:w="8646" w:type="dxa"/>
            <w:shd w:val="clear" w:color="auto" w:fill="auto"/>
          </w:tcPr>
          <w:p w:rsidR="00357101" w:rsidRDefault="00EE574D">
            <w:pPr>
              <w:spacing w:before="240"/>
              <w:jc w:val="center"/>
              <w:rPr>
                <w:b/>
                <w:sz w:val="22"/>
                <w:szCs w:val="22"/>
              </w:rPr>
            </w:pPr>
            <w:r>
              <w:rPr>
                <w:b/>
                <w:sz w:val="22"/>
                <w:szCs w:val="22"/>
              </w:rPr>
              <w:t>Contents</w:t>
            </w:r>
          </w:p>
        </w:tc>
      </w:tr>
      <w:tr w:rsidR="00357101">
        <w:trPr>
          <w:trHeight w:val="309"/>
        </w:trPr>
        <w:tc>
          <w:tcPr>
            <w:tcW w:w="1555" w:type="dxa"/>
            <w:shd w:val="clear" w:color="auto" w:fill="auto"/>
          </w:tcPr>
          <w:p w:rsidR="00357101" w:rsidRDefault="00EE574D">
            <w:pPr>
              <w:spacing w:before="240"/>
              <w:ind w:left="720"/>
              <w:rPr>
                <w:sz w:val="22"/>
                <w:szCs w:val="22"/>
              </w:rPr>
            </w:pPr>
            <w:r>
              <w:rPr>
                <w:sz w:val="22"/>
                <w:szCs w:val="22"/>
              </w:rPr>
              <w:t>1</w:t>
            </w:r>
          </w:p>
        </w:tc>
        <w:tc>
          <w:tcPr>
            <w:tcW w:w="8646" w:type="dxa"/>
            <w:shd w:val="clear" w:color="auto" w:fill="auto"/>
          </w:tcPr>
          <w:p w:rsidR="00357101" w:rsidRDefault="00EE574D">
            <w:pPr>
              <w:spacing w:before="240"/>
              <w:rPr>
                <w:strike/>
                <w:sz w:val="22"/>
                <w:szCs w:val="22"/>
              </w:rPr>
            </w:pPr>
            <w:r>
              <w:rPr>
                <w:sz w:val="22"/>
                <w:szCs w:val="22"/>
              </w:rPr>
              <w:t>Synchronization of cell cycle in budding yeast</w:t>
            </w:r>
          </w:p>
        </w:tc>
      </w:tr>
      <w:tr w:rsidR="00357101">
        <w:trPr>
          <w:trHeight w:val="309"/>
        </w:trPr>
        <w:tc>
          <w:tcPr>
            <w:tcW w:w="1555" w:type="dxa"/>
            <w:shd w:val="clear" w:color="auto" w:fill="auto"/>
          </w:tcPr>
          <w:p w:rsidR="00357101" w:rsidRDefault="00EE574D">
            <w:pPr>
              <w:spacing w:before="240"/>
              <w:ind w:left="720"/>
              <w:rPr>
                <w:sz w:val="22"/>
                <w:szCs w:val="22"/>
              </w:rPr>
            </w:pPr>
            <w:r>
              <w:rPr>
                <w:sz w:val="22"/>
                <w:szCs w:val="22"/>
              </w:rPr>
              <w:t>2</w:t>
            </w:r>
          </w:p>
        </w:tc>
        <w:tc>
          <w:tcPr>
            <w:tcW w:w="8646" w:type="dxa"/>
            <w:shd w:val="clear" w:color="auto" w:fill="auto"/>
          </w:tcPr>
          <w:p w:rsidR="00357101" w:rsidRDefault="00EE574D">
            <w:pPr>
              <w:spacing w:before="240"/>
              <w:rPr>
                <w:sz w:val="22"/>
                <w:szCs w:val="22"/>
              </w:rPr>
            </w:pPr>
            <w:r>
              <w:rPr>
                <w:sz w:val="22"/>
                <w:szCs w:val="22"/>
              </w:rPr>
              <w:t xml:space="preserve">Culturing and maintenance of mammalian cells  </w:t>
            </w:r>
          </w:p>
        </w:tc>
      </w:tr>
      <w:tr w:rsidR="00357101">
        <w:trPr>
          <w:trHeight w:val="309"/>
        </w:trPr>
        <w:tc>
          <w:tcPr>
            <w:tcW w:w="1555" w:type="dxa"/>
            <w:shd w:val="clear" w:color="auto" w:fill="auto"/>
          </w:tcPr>
          <w:p w:rsidR="00357101" w:rsidRDefault="00EE574D">
            <w:pPr>
              <w:spacing w:before="240"/>
              <w:ind w:left="720"/>
              <w:rPr>
                <w:sz w:val="22"/>
                <w:szCs w:val="22"/>
              </w:rPr>
            </w:pPr>
            <w:r>
              <w:rPr>
                <w:sz w:val="22"/>
                <w:szCs w:val="22"/>
              </w:rPr>
              <w:t>3</w:t>
            </w:r>
          </w:p>
        </w:tc>
        <w:tc>
          <w:tcPr>
            <w:tcW w:w="8646" w:type="dxa"/>
            <w:shd w:val="clear" w:color="auto" w:fill="auto"/>
          </w:tcPr>
          <w:p w:rsidR="00357101" w:rsidRDefault="00EE574D">
            <w:pPr>
              <w:spacing w:before="240"/>
              <w:rPr>
                <w:sz w:val="22"/>
                <w:szCs w:val="22"/>
              </w:rPr>
            </w:pPr>
            <w:r>
              <w:rPr>
                <w:sz w:val="22"/>
                <w:szCs w:val="22"/>
              </w:rPr>
              <w:t>Induction of cell cycle arrest and its study in human cell lines</w:t>
            </w:r>
          </w:p>
        </w:tc>
      </w:tr>
      <w:tr w:rsidR="00357101">
        <w:trPr>
          <w:trHeight w:val="309"/>
        </w:trPr>
        <w:tc>
          <w:tcPr>
            <w:tcW w:w="1555" w:type="dxa"/>
            <w:shd w:val="clear" w:color="auto" w:fill="auto"/>
          </w:tcPr>
          <w:p w:rsidR="00357101" w:rsidRDefault="00EE574D">
            <w:pPr>
              <w:spacing w:before="240"/>
              <w:ind w:left="720"/>
              <w:rPr>
                <w:sz w:val="22"/>
                <w:szCs w:val="22"/>
              </w:rPr>
            </w:pPr>
            <w:r>
              <w:rPr>
                <w:sz w:val="22"/>
                <w:szCs w:val="22"/>
              </w:rPr>
              <w:t>4</w:t>
            </w:r>
          </w:p>
        </w:tc>
        <w:tc>
          <w:tcPr>
            <w:tcW w:w="8646" w:type="dxa"/>
            <w:shd w:val="clear" w:color="auto" w:fill="auto"/>
          </w:tcPr>
          <w:p w:rsidR="00357101" w:rsidRDefault="00EE574D">
            <w:pPr>
              <w:spacing w:before="240"/>
              <w:rPr>
                <w:sz w:val="22"/>
                <w:szCs w:val="22"/>
              </w:rPr>
            </w:pPr>
            <w:r>
              <w:rPr>
                <w:sz w:val="22"/>
                <w:szCs w:val="22"/>
              </w:rPr>
              <w:t>Examining cellular apoptosis using different methods and reagents</w:t>
            </w:r>
          </w:p>
        </w:tc>
      </w:tr>
      <w:tr w:rsidR="00357101">
        <w:trPr>
          <w:trHeight w:val="309"/>
        </w:trPr>
        <w:tc>
          <w:tcPr>
            <w:tcW w:w="1555" w:type="dxa"/>
            <w:shd w:val="clear" w:color="auto" w:fill="auto"/>
          </w:tcPr>
          <w:p w:rsidR="00357101" w:rsidRDefault="00EE574D">
            <w:pPr>
              <w:spacing w:before="240"/>
              <w:rPr>
                <w:sz w:val="22"/>
                <w:szCs w:val="22"/>
              </w:rPr>
            </w:pPr>
            <w:r>
              <w:rPr>
                <w:sz w:val="22"/>
                <w:szCs w:val="22"/>
              </w:rPr>
              <w:t xml:space="preserve">             5</w:t>
            </w:r>
          </w:p>
        </w:tc>
        <w:tc>
          <w:tcPr>
            <w:tcW w:w="8646" w:type="dxa"/>
            <w:shd w:val="clear" w:color="auto" w:fill="auto"/>
          </w:tcPr>
          <w:p w:rsidR="00357101" w:rsidRDefault="00EE574D">
            <w:pPr>
              <w:spacing w:before="240"/>
              <w:rPr>
                <w:sz w:val="22"/>
                <w:szCs w:val="22"/>
              </w:rPr>
            </w:pPr>
            <w:r>
              <w:rPr>
                <w:sz w:val="22"/>
                <w:szCs w:val="22"/>
              </w:rPr>
              <w:t>Transient transfection of mammalian cells</w:t>
            </w:r>
          </w:p>
        </w:tc>
      </w:tr>
      <w:tr w:rsidR="00357101">
        <w:trPr>
          <w:trHeight w:val="309"/>
        </w:trPr>
        <w:tc>
          <w:tcPr>
            <w:tcW w:w="1555" w:type="dxa"/>
            <w:shd w:val="clear" w:color="auto" w:fill="auto"/>
          </w:tcPr>
          <w:p w:rsidR="00357101" w:rsidRDefault="00EE574D">
            <w:pPr>
              <w:spacing w:before="240"/>
              <w:ind w:left="720"/>
              <w:rPr>
                <w:sz w:val="22"/>
                <w:szCs w:val="22"/>
              </w:rPr>
            </w:pPr>
            <w:r>
              <w:rPr>
                <w:sz w:val="22"/>
                <w:szCs w:val="22"/>
              </w:rPr>
              <w:t>6</w:t>
            </w:r>
          </w:p>
        </w:tc>
        <w:tc>
          <w:tcPr>
            <w:tcW w:w="8646" w:type="dxa"/>
            <w:shd w:val="clear" w:color="auto" w:fill="auto"/>
          </w:tcPr>
          <w:p w:rsidR="00357101" w:rsidRDefault="00EE574D">
            <w:pPr>
              <w:spacing w:before="240"/>
              <w:rPr>
                <w:sz w:val="22"/>
                <w:szCs w:val="22"/>
              </w:rPr>
            </w:pPr>
            <w:r>
              <w:rPr>
                <w:sz w:val="22"/>
                <w:szCs w:val="22"/>
              </w:rPr>
              <w:t xml:space="preserve">Cytokine treatment of mammalian cells </w:t>
            </w:r>
          </w:p>
        </w:tc>
      </w:tr>
      <w:tr w:rsidR="00357101">
        <w:trPr>
          <w:trHeight w:val="309"/>
        </w:trPr>
        <w:tc>
          <w:tcPr>
            <w:tcW w:w="1555" w:type="dxa"/>
            <w:shd w:val="clear" w:color="auto" w:fill="auto"/>
          </w:tcPr>
          <w:p w:rsidR="00357101" w:rsidRDefault="00EE574D">
            <w:pPr>
              <w:spacing w:before="240"/>
              <w:ind w:left="720"/>
              <w:rPr>
                <w:sz w:val="22"/>
                <w:szCs w:val="22"/>
              </w:rPr>
            </w:pPr>
            <w:r>
              <w:rPr>
                <w:sz w:val="22"/>
                <w:szCs w:val="22"/>
              </w:rPr>
              <w:t>7</w:t>
            </w:r>
          </w:p>
        </w:tc>
        <w:tc>
          <w:tcPr>
            <w:tcW w:w="8646" w:type="dxa"/>
            <w:shd w:val="clear" w:color="auto" w:fill="auto"/>
          </w:tcPr>
          <w:p w:rsidR="00357101" w:rsidRDefault="00EE574D">
            <w:pPr>
              <w:spacing w:before="240"/>
              <w:rPr>
                <w:sz w:val="22"/>
                <w:szCs w:val="22"/>
              </w:rPr>
            </w:pPr>
            <w:r>
              <w:rPr>
                <w:sz w:val="22"/>
                <w:szCs w:val="22"/>
              </w:rPr>
              <w:t>Comparative study of normal and transformed cell lines</w:t>
            </w:r>
          </w:p>
        </w:tc>
      </w:tr>
      <w:tr w:rsidR="00357101">
        <w:trPr>
          <w:trHeight w:val="309"/>
        </w:trPr>
        <w:tc>
          <w:tcPr>
            <w:tcW w:w="1555" w:type="dxa"/>
            <w:shd w:val="clear" w:color="auto" w:fill="auto"/>
          </w:tcPr>
          <w:p w:rsidR="00357101" w:rsidRDefault="00EE574D">
            <w:pPr>
              <w:spacing w:before="240"/>
              <w:ind w:left="720"/>
              <w:rPr>
                <w:sz w:val="22"/>
                <w:szCs w:val="22"/>
              </w:rPr>
            </w:pPr>
            <w:r>
              <w:rPr>
                <w:sz w:val="22"/>
                <w:szCs w:val="22"/>
              </w:rPr>
              <w:lastRenderedPageBreak/>
              <w:t>8</w:t>
            </w:r>
          </w:p>
        </w:tc>
        <w:tc>
          <w:tcPr>
            <w:tcW w:w="8646" w:type="dxa"/>
            <w:shd w:val="clear" w:color="auto" w:fill="auto"/>
          </w:tcPr>
          <w:p w:rsidR="00357101" w:rsidRDefault="00EE574D">
            <w:pPr>
              <w:spacing w:before="240"/>
              <w:rPr>
                <w:sz w:val="22"/>
                <w:szCs w:val="22"/>
              </w:rPr>
            </w:pPr>
            <w:r>
              <w:rPr>
                <w:sz w:val="22"/>
                <w:szCs w:val="22"/>
              </w:rPr>
              <w:t xml:space="preserve">In vitro skeletal </w:t>
            </w:r>
            <w:proofErr w:type="spellStart"/>
            <w:r>
              <w:rPr>
                <w:sz w:val="22"/>
                <w:szCs w:val="22"/>
              </w:rPr>
              <w:t>myogenesis</w:t>
            </w:r>
            <w:proofErr w:type="spellEnd"/>
          </w:p>
        </w:tc>
      </w:tr>
      <w:tr w:rsidR="00357101">
        <w:trPr>
          <w:trHeight w:val="287"/>
        </w:trPr>
        <w:tc>
          <w:tcPr>
            <w:tcW w:w="1555" w:type="dxa"/>
            <w:shd w:val="clear" w:color="auto" w:fill="auto"/>
          </w:tcPr>
          <w:p w:rsidR="00357101" w:rsidRDefault="00EE574D">
            <w:pPr>
              <w:spacing w:before="240"/>
              <w:ind w:left="720"/>
              <w:rPr>
                <w:sz w:val="22"/>
                <w:szCs w:val="22"/>
              </w:rPr>
            </w:pPr>
            <w:r>
              <w:rPr>
                <w:sz w:val="22"/>
                <w:szCs w:val="22"/>
              </w:rPr>
              <w:t>9</w:t>
            </w:r>
          </w:p>
        </w:tc>
        <w:tc>
          <w:tcPr>
            <w:tcW w:w="8646" w:type="dxa"/>
            <w:shd w:val="clear" w:color="auto" w:fill="auto"/>
          </w:tcPr>
          <w:p w:rsidR="00357101" w:rsidRDefault="00EE574D">
            <w:pPr>
              <w:spacing w:before="240"/>
              <w:rPr>
                <w:sz w:val="22"/>
                <w:szCs w:val="22"/>
              </w:rPr>
            </w:pPr>
            <w:r>
              <w:rPr>
                <w:sz w:val="22"/>
                <w:szCs w:val="22"/>
              </w:rPr>
              <w:t xml:space="preserve">Confocal Microscopy: Principle and Instrumentation – Demonstration </w:t>
            </w:r>
          </w:p>
        </w:tc>
      </w:tr>
      <w:tr w:rsidR="00357101">
        <w:trPr>
          <w:trHeight w:val="287"/>
        </w:trPr>
        <w:tc>
          <w:tcPr>
            <w:tcW w:w="1555" w:type="dxa"/>
            <w:shd w:val="clear" w:color="auto" w:fill="auto"/>
          </w:tcPr>
          <w:p w:rsidR="00357101" w:rsidRDefault="00EE574D">
            <w:pPr>
              <w:spacing w:before="240"/>
              <w:ind w:left="720"/>
              <w:rPr>
                <w:sz w:val="22"/>
                <w:szCs w:val="22"/>
              </w:rPr>
            </w:pPr>
            <w:r>
              <w:rPr>
                <w:sz w:val="22"/>
                <w:szCs w:val="22"/>
              </w:rPr>
              <w:t>10</w:t>
            </w:r>
          </w:p>
        </w:tc>
        <w:tc>
          <w:tcPr>
            <w:tcW w:w="8646" w:type="dxa"/>
            <w:shd w:val="clear" w:color="auto" w:fill="auto"/>
          </w:tcPr>
          <w:p w:rsidR="00357101" w:rsidRDefault="00EE574D">
            <w:pPr>
              <w:spacing w:before="240"/>
              <w:rPr>
                <w:sz w:val="22"/>
                <w:szCs w:val="22"/>
              </w:rPr>
            </w:pPr>
            <w:r>
              <w:rPr>
                <w:sz w:val="22"/>
                <w:szCs w:val="22"/>
              </w:rPr>
              <w:t>FACS: Principle and Instrumentation – Demonstration</w:t>
            </w:r>
          </w:p>
        </w:tc>
      </w:tr>
    </w:tbl>
    <w:p w:rsidR="00357101" w:rsidRDefault="00357101">
      <w:pPr>
        <w:jc w:val="both"/>
        <w:rPr>
          <w:b/>
          <w:sz w:val="22"/>
          <w:szCs w:val="22"/>
        </w:rPr>
      </w:pPr>
    </w:p>
    <w:p w:rsidR="00357101" w:rsidRDefault="00EE574D">
      <w:pPr>
        <w:jc w:val="both"/>
        <w:rPr>
          <w:b/>
          <w:sz w:val="22"/>
          <w:szCs w:val="22"/>
        </w:rPr>
      </w:pPr>
      <w:r>
        <w:rPr>
          <w:b/>
          <w:sz w:val="22"/>
          <w:szCs w:val="22"/>
        </w:rPr>
        <w:t>6. Evaluation Scheme:</w:t>
      </w:r>
    </w:p>
    <w:tbl>
      <w:tblPr>
        <w:tblStyle w:val="a1"/>
        <w:tblW w:w="1014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7"/>
        <w:gridCol w:w="1350"/>
        <w:gridCol w:w="1980"/>
        <w:gridCol w:w="1722"/>
        <w:gridCol w:w="1338"/>
      </w:tblGrid>
      <w:tr w:rsidR="00357101">
        <w:tc>
          <w:tcPr>
            <w:tcW w:w="3757" w:type="dxa"/>
            <w:shd w:val="clear" w:color="auto" w:fill="auto"/>
          </w:tcPr>
          <w:p w:rsidR="00357101" w:rsidRDefault="00EE574D">
            <w:pPr>
              <w:pStyle w:val="Heading2"/>
              <w:jc w:val="center"/>
              <w:rPr>
                <w:sz w:val="22"/>
                <w:szCs w:val="22"/>
              </w:rPr>
            </w:pPr>
            <w:r>
              <w:rPr>
                <w:sz w:val="22"/>
                <w:szCs w:val="22"/>
              </w:rPr>
              <w:t>Evaluation Component</w:t>
            </w:r>
          </w:p>
        </w:tc>
        <w:tc>
          <w:tcPr>
            <w:tcW w:w="1350" w:type="dxa"/>
            <w:shd w:val="clear" w:color="auto" w:fill="auto"/>
          </w:tcPr>
          <w:p w:rsidR="00357101" w:rsidRDefault="00EE574D">
            <w:pPr>
              <w:pStyle w:val="Heading2"/>
              <w:jc w:val="center"/>
              <w:rPr>
                <w:sz w:val="22"/>
                <w:szCs w:val="22"/>
              </w:rPr>
            </w:pPr>
            <w:r>
              <w:rPr>
                <w:sz w:val="22"/>
                <w:szCs w:val="22"/>
              </w:rPr>
              <w:t>Duration</w:t>
            </w:r>
          </w:p>
        </w:tc>
        <w:tc>
          <w:tcPr>
            <w:tcW w:w="1980" w:type="dxa"/>
            <w:shd w:val="clear" w:color="auto" w:fill="auto"/>
          </w:tcPr>
          <w:p w:rsidR="00357101" w:rsidRDefault="00EE574D">
            <w:pPr>
              <w:pStyle w:val="Heading2"/>
              <w:jc w:val="center"/>
              <w:rPr>
                <w:sz w:val="22"/>
                <w:szCs w:val="22"/>
              </w:rPr>
            </w:pPr>
            <w:r>
              <w:rPr>
                <w:sz w:val="22"/>
                <w:szCs w:val="22"/>
              </w:rPr>
              <w:t>Weightage (%) (Marks)</w:t>
            </w:r>
          </w:p>
        </w:tc>
        <w:tc>
          <w:tcPr>
            <w:tcW w:w="1722" w:type="dxa"/>
            <w:shd w:val="clear" w:color="auto" w:fill="auto"/>
          </w:tcPr>
          <w:p w:rsidR="00357101" w:rsidRDefault="00EE574D">
            <w:pPr>
              <w:pStyle w:val="Heading2"/>
              <w:jc w:val="center"/>
              <w:rPr>
                <w:sz w:val="22"/>
                <w:szCs w:val="22"/>
              </w:rPr>
            </w:pPr>
            <w:r>
              <w:rPr>
                <w:sz w:val="22"/>
                <w:szCs w:val="22"/>
              </w:rPr>
              <w:t>Date &amp; Time</w:t>
            </w:r>
          </w:p>
        </w:tc>
        <w:tc>
          <w:tcPr>
            <w:tcW w:w="1338" w:type="dxa"/>
            <w:shd w:val="clear" w:color="auto" w:fill="auto"/>
          </w:tcPr>
          <w:p w:rsidR="00357101" w:rsidRDefault="00EE574D">
            <w:pPr>
              <w:pStyle w:val="Heading2"/>
              <w:jc w:val="center"/>
              <w:rPr>
                <w:sz w:val="22"/>
                <w:szCs w:val="22"/>
              </w:rPr>
            </w:pPr>
            <w:r>
              <w:rPr>
                <w:sz w:val="22"/>
                <w:szCs w:val="22"/>
              </w:rPr>
              <w:t>Remarks</w:t>
            </w:r>
          </w:p>
        </w:tc>
      </w:tr>
      <w:tr w:rsidR="00357101">
        <w:tc>
          <w:tcPr>
            <w:tcW w:w="3757" w:type="dxa"/>
            <w:shd w:val="clear" w:color="auto" w:fill="auto"/>
          </w:tcPr>
          <w:p w:rsidR="00357101" w:rsidRDefault="00EE574D">
            <w:pPr>
              <w:jc w:val="center"/>
              <w:rPr>
                <w:sz w:val="22"/>
                <w:szCs w:val="22"/>
              </w:rPr>
            </w:pPr>
            <w:r>
              <w:rPr>
                <w:sz w:val="22"/>
                <w:szCs w:val="22"/>
              </w:rPr>
              <w:t>Mid-semester Exam</w:t>
            </w:r>
          </w:p>
          <w:p w:rsidR="00357101" w:rsidRDefault="00357101">
            <w:pPr>
              <w:jc w:val="center"/>
              <w:rPr>
                <w:sz w:val="22"/>
                <w:szCs w:val="22"/>
              </w:rPr>
            </w:pPr>
          </w:p>
        </w:tc>
        <w:tc>
          <w:tcPr>
            <w:tcW w:w="1350" w:type="dxa"/>
            <w:shd w:val="clear" w:color="auto" w:fill="auto"/>
          </w:tcPr>
          <w:p w:rsidR="00357101" w:rsidRDefault="00EE574D">
            <w:pPr>
              <w:jc w:val="center"/>
              <w:rPr>
                <w:sz w:val="22"/>
                <w:szCs w:val="22"/>
              </w:rPr>
            </w:pPr>
            <w:r>
              <w:rPr>
                <w:sz w:val="22"/>
                <w:szCs w:val="22"/>
              </w:rPr>
              <w:t>90 min</w:t>
            </w:r>
          </w:p>
        </w:tc>
        <w:tc>
          <w:tcPr>
            <w:tcW w:w="1980" w:type="dxa"/>
            <w:shd w:val="clear" w:color="auto" w:fill="auto"/>
          </w:tcPr>
          <w:p w:rsidR="00357101" w:rsidRDefault="00EE574D">
            <w:pPr>
              <w:jc w:val="center"/>
              <w:rPr>
                <w:sz w:val="22"/>
                <w:szCs w:val="22"/>
              </w:rPr>
            </w:pPr>
            <w:r>
              <w:rPr>
                <w:sz w:val="22"/>
                <w:szCs w:val="22"/>
              </w:rPr>
              <w:t>25% (50)</w:t>
            </w:r>
          </w:p>
        </w:tc>
        <w:tc>
          <w:tcPr>
            <w:tcW w:w="1722" w:type="dxa"/>
            <w:shd w:val="clear" w:color="auto" w:fill="auto"/>
          </w:tcPr>
          <w:p w:rsidR="00357101" w:rsidRDefault="00EE574D">
            <w:pPr>
              <w:jc w:val="center"/>
              <w:rPr>
                <w:sz w:val="22"/>
                <w:szCs w:val="22"/>
              </w:rPr>
            </w:pPr>
            <w:r>
              <w:rPr>
                <w:sz w:val="22"/>
                <w:szCs w:val="22"/>
              </w:rPr>
              <w:t>As per Timetable</w:t>
            </w:r>
          </w:p>
        </w:tc>
        <w:tc>
          <w:tcPr>
            <w:tcW w:w="1338" w:type="dxa"/>
            <w:shd w:val="clear" w:color="auto" w:fill="auto"/>
          </w:tcPr>
          <w:p w:rsidR="00357101" w:rsidRDefault="00EE574D">
            <w:pPr>
              <w:jc w:val="center"/>
              <w:rPr>
                <w:sz w:val="22"/>
                <w:szCs w:val="22"/>
              </w:rPr>
            </w:pPr>
            <w:r>
              <w:rPr>
                <w:sz w:val="22"/>
                <w:szCs w:val="22"/>
              </w:rPr>
              <w:t>CB</w:t>
            </w:r>
          </w:p>
        </w:tc>
      </w:tr>
      <w:tr w:rsidR="00357101">
        <w:tc>
          <w:tcPr>
            <w:tcW w:w="3757" w:type="dxa"/>
            <w:shd w:val="clear" w:color="auto" w:fill="auto"/>
          </w:tcPr>
          <w:p w:rsidR="00357101" w:rsidRDefault="00EE574D">
            <w:pPr>
              <w:jc w:val="center"/>
              <w:rPr>
                <w:sz w:val="22"/>
                <w:szCs w:val="22"/>
              </w:rPr>
            </w:pPr>
            <w:r>
              <w:rPr>
                <w:sz w:val="22"/>
                <w:szCs w:val="22"/>
              </w:rPr>
              <w:t>Lab evaluation (Includes attendance, lab records, quiz and viva)</w:t>
            </w:r>
          </w:p>
          <w:p w:rsidR="00357101" w:rsidRDefault="00357101">
            <w:pPr>
              <w:jc w:val="center"/>
              <w:rPr>
                <w:sz w:val="22"/>
                <w:szCs w:val="22"/>
              </w:rPr>
            </w:pPr>
          </w:p>
        </w:tc>
        <w:tc>
          <w:tcPr>
            <w:tcW w:w="1350" w:type="dxa"/>
            <w:shd w:val="clear" w:color="auto" w:fill="auto"/>
          </w:tcPr>
          <w:p w:rsidR="00357101" w:rsidRDefault="00EE574D">
            <w:pPr>
              <w:jc w:val="center"/>
              <w:rPr>
                <w:sz w:val="22"/>
                <w:szCs w:val="22"/>
              </w:rPr>
            </w:pPr>
            <w:r>
              <w:rPr>
                <w:sz w:val="22"/>
                <w:szCs w:val="22"/>
              </w:rPr>
              <w:t>Variable</w:t>
            </w:r>
          </w:p>
        </w:tc>
        <w:tc>
          <w:tcPr>
            <w:tcW w:w="1980" w:type="dxa"/>
            <w:shd w:val="clear" w:color="auto" w:fill="auto"/>
          </w:tcPr>
          <w:p w:rsidR="00357101" w:rsidRDefault="00EE574D">
            <w:pPr>
              <w:jc w:val="center"/>
              <w:rPr>
                <w:sz w:val="22"/>
                <w:szCs w:val="22"/>
              </w:rPr>
            </w:pPr>
            <w:r>
              <w:rPr>
                <w:sz w:val="22"/>
                <w:szCs w:val="22"/>
              </w:rPr>
              <w:t>20% (40)</w:t>
            </w:r>
          </w:p>
        </w:tc>
        <w:tc>
          <w:tcPr>
            <w:tcW w:w="1722" w:type="dxa"/>
            <w:shd w:val="clear" w:color="auto" w:fill="auto"/>
          </w:tcPr>
          <w:p w:rsidR="00357101" w:rsidRDefault="00EE574D">
            <w:pPr>
              <w:jc w:val="center"/>
              <w:rPr>
                <w:sz w:val="22"/>
                <w:szCs w:val="22"/>
              </w:rPr>
            </w:pPr>
            <w:r>
              <w:rPr>
                <w:sz w:val="22"/>
                <w:szCs w:val="22"/>
              </w:rPr>
              <w:t>continuous evaluation</w:t>
            </w:r>
          </w:p>
        </w:tc>
        <w:tc>
          <w:tcPr>
            <w:tcW w:w="1338" w:type="dxa"/>
            <w:shd w:val="clear" w:color="auto" w:fill="auto"/>
          </w:tcPr>
          <w:p w:rsidR="00357101" w:rsidRDefault="00EE574D">
            <w:pPr>
              <w:jc w:val="center"/>
              <w:rPr>
                <w:sz w:val="22"/>
                <w:szCs w:val="22"/>
              </w:rPr>
            </w:pPr>
            <w:r>
              <w:rPr>
                <w:sz w:val="22"/>
                <w:szCs w:val="22"/>
              </w:rPr>
              <w:t>OB</w:t>
            </w:r>
          </w:p>
        </w:tc>
      </w:tr>
      <w:tr w:rsidR="00357101">
        <w:tc>
          <w:tcPr>
            <w:tcW w:w="3757" w:type="dxa"/>
            <w:shd w:val="clear" w:color="auto" w:fill="auto"/>
          </w:tcPr>
          <w:p w:rsidR="00357101" w:rsidRDefault="00EE574D">
            <w:pPr>
              <w:jc w:val="center"/>
              <w:rPr>
                <w:sz w:val="22"/>
                <w:szCs w:val="22"/>
              </w:rPr>
            </w:pPr>
            <w:r>
              <w:rPr>
                <w:sz w:val="22"/>
                <w:szCs w:val="22"/>
              </w:rPr>
              <w:t>Assignments/Presentations/Quizzes</w:t>
            </w:r>
          </w:p>
          <w:p w:rsidR="00357101" w:rsidRDefault="00357101">
            <w:pPr>
              <w:jc w:val="center"/>
              <w:rPr>
                <w:sz w:val="22"/>
                <w:szCs w:val="22"/>
              </w:rPr>
            </w:pPr>
          </w:p>
        </w:tc>
        <w:tc>
          <w:tcPr>
            <w:tcW w:w="1350" w:type="dxa"/>
            <w:shd w:val="clear" w:color="auto" w:fill="auto"/>
          </w:tcPr>
          <w:p w:rsidR="00357101" w:rsidRDefault="00EE574D">
            <w:pPr>
              <w:jc w:val="center"/>
              <w:rPr>
                <w:sz w:val="22"/>
                <w:szCs w:val="22"/>
              </w:rPr>
            </w:pPr>
            <w:r>
              <w:rPr>
                <w:sz w:val="22"/>
                <w:szCs w:val="22"/>
              </w:rPr>
              <w:t>Variable</w:t>
            </w:r>
          </w:p>
        </w:tc>
        <w:tc>
          <w:tcPr>
            <w:tcW w:w="1980" w:type="dxa"/>
            <w:shd w:val="clear" w:color="auto" w:fill="auto"/>
          </w:tcPr>
          <w:p w:rsidR="00357101" w:rsidRDefault="00EE574D">
            <w:pPr>
              <w:jc w:val="center"/>
              <w:rPr>
                <w:sz w:val="22"/>
                <w:szCs w:val="22"/>
              </w:rPr>
            </w:pPr>
            <w:r>
              <w:rPr>
                <w:sz w:val="22"/>
                <w:szCs w:val="22"/>
              </w:rPr>
              <w:t>20% (40)</w:t>
            </w:r>
          </w:p>
        </w:tc>
        <w:tc>
          <w:tcPr>
            <w:tcW w:w="1722" w:type="dxa"/>
            <w:shd w:val="clear" w:color="auto" w:fill="auto"/>
          </w:tcPr>
          <w:p w:rsidR="00357101" w:rsidRDefault="00EE574D">
            <w:pPr>
              <w:jc w:val="center"/>
              <w:rPr>
                <w:sz w:val="22"/>
                <w:szCs w:val="22"/>
              </w:rPr>
            </w:pPr>
            <w:r>
              <w:rPr>
                <w:sz w:val="22"/>
                <w:szCs w:val="22"/>
              </w:rPr>
              <w:t>continuous evaluation</w:t>
            </w:r>
          </w:p>
          <w:p w:rsidR="00357101" w:rsidRDefault="00357101">
            <w:pPr>
              <w:jc w:val="center"/>
              <w:rPr>
                <w:sz w:val="22"/>
                <w:szCs w:val="22"/>
              </w:rPr>
            </w:pPr>
          </w:p>
        </w:tc>
        <w:tc>
          <w:tcPr>
            <w:tcW w:w="1338" w:type="dxa"/>
            <w:shd w:val="clear" w:color="auto" w:fill="auto"/>
          </w:tcPr>
          <w:p w:rsidR="00357101" w:rsidRDefault="00EE574D">
            <w:pPr>
              <w:jc w:val="center"/>
              <w:rPr>
                <w:sz w:val="22"/>
                <w:szCs w:val="22"/>
              </w:rPr>
            </w:pPr>
            <w:r>
              <w:rPr>
                <w:sz w:val="22"/>
                <w:szCs w:val="22"/>
              </w:rPr>
              <w:t>OB</w:t>
            </w:r>
          </w:p>
        </w:tc>
      </w:tr>
      <w:tr w:rsidR="00357101">
        <w:trPr>
          <w:trHeight w:val="269"/>
        </w:trPr>
        <w:tc>
          <w:tcPr>
            <w:tcW w:w="3757" w:type="dxa"/>
            <w:shd w:val="clear" w:color="auto" w:fill="auto"/>
          </w:tcPr>
          <w:p w:rsidR="00357101" w:rsidRDefault="00EE574D">
            <w:pPr>
              <w:jc w:val="center"/>
              <w:rPr>
                <w:sz w:val="22"/>
                <w:szCs w:val="22"/>
              </w:rPr>
            </w:pPr>
            <w:r>
              <w:rPr>
                <w:sz w:val="22"/>
                <w:szCs w:val="22"/>
              </w:rPr>
              <w:t>Comprehensive Exam</w:t>
            </w:r>
          </w:p>
          <w:p w:rsidR="00357101" w:rsidRDefault="00357101">
            <w:pPr>
              <w:jc w:val="center"/>
              <w:rPr>
                <w:sz w:val="22"/>
                <w:szCs w:val="22"/>
              </w:rPr>
            </w:pPr>
          </w:p>
        </w:tc>
        <w:tc>
          <w:tcPr>
            <w:tcW w:w="1350" w:type="dxa"/>
            <w:shd w:val="clear" w:color="auto" w:fill="auto"/>
          </w:tcPr>
          <w:p w:rsidR="00357101" w:rsidRDefault="00EE574D">
            <w:pPr>
              <w:jc w:val="center"/>
              <w:rPr>
                <w:sz w:val="22"/>
                <w:szCs w:val="22"/>
              </w:rPr>
            </w:pPr>
            <w:r>
              <w:rPr>
                <w:sz w:val="22"/>
                <w:szCs w:val="22"/>
              </w:rPr>
              <w:t>120 min</w:t>
            </w:r>
          </w:p>
        </w:tc>
        <w:tc>
          <w:tcPr>
            <w:tcW w:w="1980" w:type="dxa"/>
            <w:shd w:val="clear" w:color="auto" w:fill="auto"/>
          </w:tcPr>
          <w:p w:rsidR="00357101" w:rsidRDefault="00EE574D">
            <w:pPr>
              <w:jc w:val="center"/>
              <w:rPr>
                <w:sz w:val="22"/>
                <w:szCs w:val="22"/>
              </w:rPr>
            </w:pPr>
            <w:r>
              <w:rPr>
                <w:sz w:val="22"/>
                <w:szCs w:val="22"/>
              </w:rPr>
              <w:t>35% (70)</w:t>
            </w:r>
          </w:p>
        </w:tc>
        <w:tc>
          <w:tcPr>
            <w:tcW w:w="1722" w:type="dxa"/>
            <w:shd w:val="clear" w:color="auto" w:fill="auto"/>
          </w:tcPr>
          <w:p w:rsidR="00357101" w:rsidRDefault="00EE574D">
            <w:pPr>
              <w:pBdr>
                <w:top w:val="nil"/>
                <w:left w:val="nil"/>
                <w:bottom w:val="nil"/>
                <w:right w:val="nil"/>
                <w:between w:val="nil"/>
              </w:pBdr>
              <w:rPr>
                <w:color w:val="000000"/>
                <w:sz w:val="22"/>
                <w:szCs w:val="22"/>
              </w:rPr>
            </w:pPr>
            <w:r>
              <w:rPr>
                <w:sz w:val="22"/>
                <w:szCs w:val="22"/>
              </w:rPr>
              <w:t>As per Timetable</w:t>
            </w:r>
            <w:bookmarkStart w:id="0" w:name="_GoBack"/>
            <w:bookmarkEnd w:id="0"/>
          </w:p>
        </w:tc>
        <w:tc>
          <w:tcPr>
            <w:tcW w:w="1338" w:type="dxa"/>
            <w:shd w:val="clear" w:color="auto" w:fill="auto"/>
          </w:tcPr>
          <w:p w:rsidR="00357101" w:rsidRDefault="00EE574D">
            <w:pPr>
              <w:jc w:val="center"/>
              <w:rPr>
                <w:sz w:val="22"/>
                <w:szCs w:val="22"/>
              </w:rPr>
            </w:pPr>
            <w:r>
              <w:rPr>
                <w:sz w:val="22"/>
                <w:szCs w:val="22"/>
              </w:rPr>
              <w:t>CB</w:t>
            </w:r>
          </w:p>
        </w:tc>
      </w:tr>
    </w:tbl>
    <w:p w:rsidR="00357101" w:rsidRDefault="00357101">
      <w:pPr>
        <w:spacing w:before="40" w:after="60"/>
        <w:jc w:val="both"/>
      </w:pPr>
    </w:p>
    <w:p w:rsidR="00357101" w:rsidRDefault="00EE574D">
      <w:pPr>
        <w:spacing w:before="40" w:after="60"/>
        <w:jc w:val="both"/>
        <w:rPr>
          <w:sz w:val="22"/>
          <w:szCs w:val="22"/>
        </w:rPr>
      </w:pPr>
      <w:r>
        <w:rPr>
          <w:b/>
          <w:sz w:val="22"/>
          <w:szCs w:val="22"/>
        </w:rPr>
        <w:t xml:space="preserve">7. Chamber consultation hour: </w:t>
      </w:r>
      <w:r>
        <w:rPr>
          <w:sz w:val="22"/>
          <w:szCs w:val="22"/>
        </w:rPr>
        <w:t xml:space="preserve"> Will be announced in the class.</w:t>
      </w:r>
    </w:p>
    <w:p w:rsidR="00357101" w:rsidRDefault="00357101">
      <w:pPr>
        <w:spacing w:before="40" w:after="60"/>
        <w:jc w:val="both"/>
        <w:rPr>
          <w:sz w:val="22"/>
          <w:szCs w:val="22"/>
        </w:rPr>
      </w:pPr>
    </w:p>
    <w:p w:rsidR="00357101" w:rsidRDefault="00EE574D">
      <w:pPr>
        <w:jc w:val="both"/>
        <w:rPr>
          <w:sz w:val="22"/>
          <w:szCs w:val="22"/>
        </w:rPr>
      </w:pPr>
      <w:r>
        <w:rPr>
          <w:b/>
          <w:sz w:val="22"/>
          <w:szCs w:val="22"/>
        </w:rPr>
        <w:t xml:space="preserve">8. Notices: </w:t>
      </w:r>
      <w:r>
        <w:rPr>
          <w:sz w:val="22"/>
          <w:szCs w:val="22"/>
        </w:rPr>
        <w:t>Will be displayed on the Course Management System (CMS).</w:t>
      </w:r>
    </w:p>
    <w:p w:rsidR="00357101" w:rsidRDefault="00357101">
      <w:pPr>
        <w:jc w:val="both"/>
        <w:rPr>
          <w:sz w:val="22"/>
          <w:szCs w:val="22"/>
        </w:rPr>
      </w:pPr>
    </w:p>
    <w:p w:rsidR="00357101" w:rsidRDefault="00EE574D">
      <w:pPr>
        <w:jc w:val="both"/>
        <w:rPr>
          <w:sz w:val="22"/>
          <w:szCs w:val="22"/>
        </w:rPr>
      </w:pPr>
      <w:r>
        <w:rPr>
          <w:b/>
          <w:sz w:val="22"/>
          <w:szCs w:val="22"/>
        </w:rPr>
        <w:t>9. Grading policy:</w:t>
      </w:r>
      <w:r>
        <w:rPr>
          <w:sz w:val="22"/>
          <w:szCs w:val="22"/>
        </w:rPr>
        <w:t xml:space="preserve"> Award of grades will be guided in general by the histogram of marks. Decision on border line cases will be taken based on individual’s sincerity, attendance in classes, and the section instructor’s assessment of the student. Students missing one or more c</w:t>
      </w:r>
      <w:r>
        <w:rPr>
          <w:sz w:val="22"/>
          <w:szCs w:val="22"/>
        </w:rPr>
        <w:t>omponent of evaluation completely may be given NC.</w:t>
      </w:r>
    </w:p>
    <w:p w:rsidR="00357101" w:rsidRDefault="00357101">
      <w:pPr>
        <w:jc w:val="both"/>
        <w:rPr>
          <w:b/>
          <w:sz w:val="22"/>
          <w:szCs w:val="22"/>
        </w:rPr>
      </w:pPr>
    </w:p>
    <w:p w:rsidR="00357101" w:rsidRDefault="00EE574D">
      <w:pPr>
        <w:jc w:val="both"/>
        <w:rPr>
          <w:sz w:val="22"/>
          <w:szCs w:val="22"/>
        </w:rPr>
      </w:pPr>
      <w:r>
        <w:rPr>
          <w:b/>
          <w:sz w:val="22"/>
          <w:szCs w:val="22"/>
        </w:rPr>
        <w:t xml:space="preserve">10. Make-up policy: </w:t>
      </w:r>
      <w:r>
        <w:rPr>
          <w:sz w:val="22"/>
          <w:szCs w:val="22"/>
        </w:rPr>
        <w:t xml:space="preserve">No make-up will be granted for surprise quizzes and lab components; for mid semester and comprehensive exams, make-up will be given only on medical grounds or with prior permission of </w:t>
      </w:r>
      <w:r>
        <w:rPr>
          <w:sz w:val="22"/>
          <w:szCs w:val="22"/>
        </w:rPr>
        <w:t xml:space="preserve">the I/C. </w:t>
      </w:r>
    </w:p>
    <w:p w:rsidR="00357101" w:rsidRDefault="00357101">
      <w:pPr>
        <w:jc w:val="both"/>
        <w:rPr>
          <w:sz w:val="22"/>
          <w:szCs w:val="22"/>
        </w:rPr>
      </w:pPr>
    </w:p>
    <w:p w:rsidR="00357101" w:rsidRDefault="00EE574D">
      <w:pPr>
        <w:jc w:val="both"/>
        <w:rPr>
          <w:rFonts w:ascii="Arial" w:eastAsia="Arial" w:hAnsi="Arial" w:cs="Arial"/>
          <w:sz w:val="22"/>
          <w:szCs w:val="22"/>
          <w:highlight w:val="white"/>
        </w:rPr>
      </w:pPr>
      <w:r>
        <w:rPr>
          <w:b/>
          <w:sz w:val="22"/>
          <w:szCs w:val="22"/>
          <w:highlight w:val="white"/>
        </w:rPr>
        <w:t>11. Academic Honesty and Integrity Policy:</w:t>
      </w:r>
      <w:r>
        <w:rPr>
          <w:rFonts w:ascii="Arial" w:eastAsia="Arial" w:hAnsi="Arial" w:cs="Arial"/>
          <w:sz w:val="22"/>
          <w:szCs w:val="22"/>
          <w:highlight w:val="white"/>
        </w:rPr>
        <w:t xml:space="preserve"> </w:t>
      </w:r>
      <w:r>
        <w:rPr>
          <w:sz w:val="22"/>
          <w:szCs w:val="22"/>
          <w:highlight w:val="white"/>
        </w:rPr>
        <w:t>Academic honesty and integrity are to be maintained by all the students throughout the semester and no type of academic dishonesty is acceptable.</w:t>
      </w:r>
    </w:p>
    <w:p w:rsidR="00357101" w:rsidRDefault="00EE574D">
      <w:pPr>
        <w:pStyle w:val="Heading3"/>
        <w:ind w:firstLine="360"/>
        <w:jc w:val="center"/>
        <w:rPr>
          <w:sz w:val="22"/>
          <w:szCs w:val="22"/>
        </w:rPr>
      </w:pPr>
      <w:r>
        <w:rPr>
          <w:sz w:val="22"/>
          <w:szCs w:val="22"/>
        </w:rPr>
        <w:t xml:space="preserve">                                            </w:t>
      </w:r>
    </w:p>
    <w:p w:rsidR="00357101" w:rsidRDefault="00EE574D">
      <w:pPr>
        <w:pStyle w:val="Heading3"/>
        <w:ind w:firstLine="360"/>
        <w:jc w:val="center"/>
        <w:rPr>
          <w:sz w:val="22"/>
          <w:szCs w:val="22"/>
        </w:rPr>
      </w:pPr>
      <w:r>
        <w:rPr>
          <w:sz w:val="22"/>
          <w:szCs w:val="22"/>
        </w:rPr>
        <w:t xml:space="preserve">                                                       </w:t>
      </w:r>
    </w:p>
    <w:p w:rsidR="00357101" w:rsidRDefault="00EE574D">
      <w:pPr>
        <w:pStyle w:val="Heading3"/>
        <w:ind w:firstLine="360"/>
        <w:rPr>
          <w:sz w:val="22"/>
          <w:szCs w:val="22"/>
        </w:rPr>
      </w:pPr>
      <w:r>
        <w:rPr>
          <w:smallCaps/>
          <w:sz w:val="22"/>
          <w:szCs w:val="22"/>
        </w:rPr>
        <w:t>INSTRUCTOR-IN-CHARGE</w:t>
      </w:r>
    </w:p>
    <w:p w:rsidR="00357101" w:rsidRDefault="00EE574D">
      <w:pPr>
        <w:jc w:val="center"/>
        <w:rPr>
          <w:b/>
          <w:sz w:val="22"/>
          <w:szCs w:val="22"/>
        </w:rPr>
      </w:pPr>
      <w:r>
        <w:rPr>
          <w:b/>
          <w:sz w:val="22"/>
          <w:szCs w:val="22"/>
        </w:rPr>
        <w:t xml:space="preserve">                                                                                                                                 (BIO G542)</w:t>
      </w:r>
    </w:p>
    <w:p w:rsidR="00357101" w:rsidRDefault="00357101">
      <w:pPr>
        <w:jc w:val="center"/>
        <w:rPr>
          <w:b/>
          <w:sz w:val="22"/>
          <w:szCs w:val="22"/>
        </w:rPr>
      </w:pPr>
    </w:p>
    <w:p w:rsidR="00357101" w:rsidRDefault="00357101">
      <w:pPr>
        <w:rPr>
          <w:b/>
          <w:sz w:val="22"/>
          <w:szCs w:val="22"/>
        </w:rPr>
      </w:pPr>
    </w:p>
    <w:sectPr w:rsidR="00357101">
      <w:pgSz w:w="12240" w:h="15840"/>
      <w:pgMar w:top="1008" w:right="900" w:bottom="1008"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55B1"/>
    <w:multiLevelType w:val="multilevel"/>
    <w:tmpl w:val="67F6D13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01"/>
    <w:rsid w:val="00357101"/>
    <w:rsid w:val="00890FA5"/>
    <w:rsid w:val="00EE574D"/>
    <w:rsid w:val="00F93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F363"/>
  <w15:docId w15:val="{AA170A82-9826-48C0-8E16-AA26CF40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855"/>
  </w:style>
  <w:style w:type="paragraph" w:styleId="Heading1">
    <w:name w:val="heading 1"/>
    <w:basedOn w:val="Normal"/>
    <w:next w:val="Normal"/>
    <w:qFormat/>
    <w:rsid w:val="00790855"/>
    <w:pPr>
      <w:keepNext/>
      <w:jc w:val="center"/>
      <w:outlineLvl w:val="0"/>
    </w:pPr>
    <w:rPr>
      <w:b/>
      <w:bCs/>
      <w:u w:val="single"/>
    </w:rPr>
  </w:style>
  <w:style w:type="paragraph" w:styleId="Heading2">
    <w:name w:val="heading 2"/>
    <w:basedOn w:val="Normal"/>
    <w:next w:val="Normal"/>
    <w:qFormat/>
    <w:rsid w:val="00790855"/>
    <w:pPr>
      <w:keepNext/>
      <w:jc w:val="both"/>
      <w:outlineLvl w:val="1"/>
    </w:pPr>
    <w:rPr>
      <w:b/>
      <w:bCs/>
    </w:rPr>
  </w:style>
  <w:style w:type="paragraph" w:styleId="Heading3">
    <w:name w:val="heading 3"/>
    <w:basedOn w:val="Normal"/>
    <w:next w:val="Normal"/>
    <w:qFormat/>
    <w:rsid w:val="00790855"/>
    <w:pPr>
      <w:keepNext/>
      <w:ind w:left="360"/>
      <w:jc w:val="right"/>
      <w:outlineLvl w:val="2"/>
    </w:pPr>
    <w:rPr>
      <w:b/>
      <w:bCs/>
    </w:rPr>
  </w:style>
  <w:style w:type="paragraph" w:styleId="Heading4">
    <w:name w:val="heading 4"/>
    <w:basedOn w:val="Normal"/>
    <w:next w:val="Normal"/>
    <w:qFormat/>
    <w:rsid w:val="00790855"/>
    <w:pPr>
      <w:keepNext/>
      <w:outlineLvl w:val="3"/>
    </w:pPr>
    <w:rPr>
      <w:b/>
      <w:b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90855"/>
    <w:pPr>
      <w:jc w:val="center"/>
    </w:pPr>
    <w:rPr>
      <w:b/>
      <w:bCs/>
    </w:rPr>
  </w:style>
  <w:style w:type="paragraph" w:styleId="BodyText">
    <w:name w:val="Body Text"/>
    <w:basedOn w:val="Normal"/>
    <w:rsid w:val="00790855"/>
    <w:pPr>
      <w:jc w:val="both"/>
    </w:pPr>
  </w:style>
  <w:style w:type="paragraph" w:styleId="Subtitle">
    <w:name w:val="Subtitle"/>
    <w:basedOn w:val="Normal"/>
    <w:next w:val="Normal"/>
    <w:pPr>
      <w:jc w:val="center"/>
    </w:pPr>
    <w:rPr>
      <w:b/>
    </w:rPr>
  </w:style>
  <w:style w:type="paragraph" w:styleId="ListParagraph">
    <w:name w:val="List Paragraph"/>
    <w:basedOn w:val="Normal"/>
    <w:uiPriority w:val="34"/>
    <w:qFormat/>
    <w:rsid w:val="00455224"/>
    <w:pPr>
      <w:ind w:left="720"/>
    </w:pPr>
  </w:style>
  <w:style w:type="paragraph" w:customStyle="1" w:styleId="Default">
    <w:name w:val="Default"/>
    <w:rsid w:val="007A6113"/>
    <w:pPr>
      <w:autoSpaceDE w:val="0"/>
      <w:autoSpaceDN w:val="0"/>
      <w:adjustRightInd w:val="0"/>
    </w:pPr>
    <w:rPr>
      <w:rFonts w:ascii="Arial" w:hAnsi="Arial" w:cs="Arial"/>
      <w:color w:val="000000"/>
    </w:rPr>
  </w:style>
  <w:style w:type="paragraph" w:styleId="BalloonText">
    <w:name w:val="Balloon Text"/>
    <w:basedOn w:val="Normal"/>
    <w:link w:val="BalloonTextChar"/>
    <w:semiHidden/>
    <w:unhideWhenUsed/>
    <w:rsid w:val="00337CDE"/>
    <w:rPr>
      <w:rFonts w:ascii="Segoe UI" w:hAnsi="Segoe UI" w:cs="Segoe UI"/>
      <w:sz w:val="18"/>
      <w:szCs w:val="18"/>
    </w:rPr>
  </w:style>
  <w:style w:type="character" w:customStyle="1" w:styleId="BalloonTextChar">
    <w:name w:val="Balloon Text Char"/>
    <w:basedOn w:val="DefaultParagraphFont"/>
    <w:link w:val="BalloonText"/>
    <w:semiHidden/>
    <w:rsid w:val="00337CDE"/>
    <w:rPr>
      <w:rFonts w:ascii="Segoe UI" w:hAnsi="Segoe UI" w:cs="Segoe UI"/>
      <w:sz w:val="18"/>
      <w:szCs w:val="18"/>
    </w:rPr>
  </w:style>
  <w:style w:type="character" w:styleId="CommentReference">
    <w:name w:val="annotation reference"/>
    <w:basedOn w:val="DefaultParagraphFont"/>
    <w:semiHidden/>
    <w:unhideWhenUsed/>
    <w:rsid w:val="008078FC"/>
    <w:rPr>
      <w:sz w:val="16"/>
      <w:szCs w:val="16"/>
    </w:rPr>
  </w:style>
  <w:style w:type="paragraph" w:styleId="CommentText">
    <w:name w:val="annotation text"/>
    <w:basedOn w:val="Normal"/>
    <w:link w:val="CommentTextChar"/>
    <w:semiHidden/>
    <w:unhideWhenUsed/>
    <w:rsid w:val="008078FC"/>
    <w:rPr>
      <w:sz w:val="20"/>
      <w:szCs w:val="20"/>
    </w:rPr>
  </w:style>
  <w:style w:type="character" w:customStyle="1" w:styleId="CommentTextChar">
    <w:name w:val="Comment Text Char"/>
    <w:basedOn w:val="DefaultParagraphFont"/>
    <w:link w:val="CommentText"/>
    <w:semiHidden/>
    <w:rsid w:val="008078FC"/>
  </w:style>
  <w:style w:type="paragraph" w:styleId="CommentSubject">
    <w:name w:val="annotation subject"/>
    <w:basedOn w:val="CommentText"/>
    <w:next w:val="CommentText"/>
    <w:link w:val="CommentSubjectChar"/>
    <w:semiHidden/>
    <w:unhideWhenUsed/>
    <w:rsid w:val="008078FC"/>
    <w:rPr>
      <w:b/>
      <w:bCs/>
    </w:rPr>
  </w:style>
  <w:style w:type="character" w:customStyle="1" w:styleId="CommentSubjectChar">
    <w:name w:val="Comment Subject Char"/>
    <w:basedOn w:val="CommentTextChar"/>
    <w:link w:val="CommentSubject"/>
    <w:semiHidden/>
    <w:rsid w:val="008078FC"/>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tg7BM0eeLkw1k+ZR602WP5Yyw==">AMUW2mWaNI5hZ4FADhbLAoQz0bBCDBMxMmZnWyx46ida9laPpQ8nAC0xxkdMucjAm8UK74lKHDfPsLJEUJuw1y32f5vmftSYjRdT4QiS3JSBydFNq8QigjM=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Dr.S.K.Verma</dc:creator>
  <cp:lastModifiedBy>BITS</cp:lastModifiedBy>
  <cp:revision>9</cp:revision>
  <dcterms:created xsi:type="dcterms:W3CDTF">2021-12-07T07:15:00Z</dcterms:created>
  <dcterms:modified xsi:type="dcterms:W3CDTF">2022-01-10T04:48:00Z</dcterms:modified>
</cp:coreProperties>
</file>