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65B" w:rsidRDefault="00A613FD">
      <w:pPr>
        <w:jc w:val="center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1108075</wp:posOffset>
            </wp:positionH>
            <wp:positionV relativeFrom="paragraph">
              <wp:posOffset>0</wp:posOffset>
            </wp:positionV>
            <wp:extent cx="4924425" cy="1019175"/>
            <wp:effectExtent l="0" t="0" r="0" b="0"/>
            <wp:wrapSquare wrapText="bothSides" distT="0" distB="0" distL="114300" distR="114300"/>
            <wp:docPr id="3" name="image1.jpg" descr="Logo_Horizontal_longVe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Horizontal_longVersion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765B" w:rsidRDefault="00E3765B">
      <w:pPr>
        <w:jc w:val="center"/>
        <w:rPr>
          <w:b/>
        </w:rPr>
      </w:pPr>
    </w:p>
    <w:p w:rsidR="00E3765B" w:rsidRDefault="00E3765B">
      <w:pPr>
        <w:jc w:val="center"/>
        <w:rPr>
          <w:b/>
        </w:rPr>
      </w:pPr>
    </w:p>
    <w:p w:rsidR="00E3765B" w:rsidRDefault="00E3765B">
      <w:pPr>
        <w:jc w:val="center"/>
        <w:rPr>
          <w:b/>
        </w:rPr>
      </w:pPr>
    </w:p>
    <w:p w:rsidR="00E3765B" w:rsidRDefault="00E3765B">
      <w:pPr>
        <w:jc w:val="center"/>
        <w:rPr>
          <w:b/>
        </w:rPr>
      </w:pPr>
    </w:p>
    <w:p w:rsidR="00E3765B" w:rsidRDefault="00E3765B">
      <w:pPr>
        <w:jc w:val="center"/>
        <w:rPr>
          <w:b/>
        </w:rPr>
      </w:pPr>
    </w:p>
    <w:p w:rsidR="00E3765B" w:rsidRDefault="00A613FD">
      <w:pPr>
        <w:jc w:val="center"/>
        <w:rPr>
          <w:b/>
        </w:rPr>
      </w:pPr>
      <w:r>
        <w:rPr>
          <w:b/>
        </w:rPr>
        <w:t>SECOND SEMESTER 2021-2022</w:t>
      </w:r>
    </w:p>
    <w:p w:rsidR="00E3765B" w:rsidRDefault="00A613FD">
      <w:pPr>
        <w:pStyle w:val="Heading1"/>
        <w:jc w:val="center"/>
      </w:pPr>
      <w:r>
        <w:t>Course Handout Part II</w:t>
      </w:r>
    </w:p>
    <w:p w:rsidR="00E3765B" w:rsidRDefault="00ED5002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Date: 15</w:t>
      </w:r>
      <w:r w:rsidR="00A613FD">
        <w:t xml:space="preserve">-01-2022 </w:t>
      </w:r>
    </w:p>
    <w:p w:rsidR="00E3765B" w:rsidRDefault="00A613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In addition to </w:t>
      </w:r>
      <w:proofErr w:type="gramStart"/>
      <w:r>
        <w:rPr>
          <w:color w:val="000000"/>
        </w:rPr>
        <w:t>part</w:t>
      </w:r>
      <w:proofErr w:type="gramEnd"/>
      <w:r>
        <w:rPr>
          <w:color w:val="000000"/>
        </w:rPr>
        <w:t>-I (General Handout for all courses appended to the time table) this portion gives further specific details regarding the course.</w:t>
      </w:r>
    </w:p>
    <w:p w:rsidR="00E3765B" w:rsidRDefault="00E3765B"/>
    <w:p w:rsidR="00E3765B" w:rsidRDefault="00A613FD">
      <w:pPr>
        <w:rPr>
          <w:b/>
          <w:i/>
        </w:rPr>
      </w:pPr>
      <w:r>
        <w:rPr>
          <w:b/>
          <w:i/>
        </w:rPr>
        <w:t>Course No.</w:t>
      </w:r>
      <w:r>
        <w:rPr>
          <w:b/>
        </w:rPr>
        <w:tab/>
      </w:r>
      <w:r>
        <w:rPr>
          <w:b/>
        </w:rPr>
        <w:tab/>
        <w:t xml:space="preserve">: </w:t>
      </w:r>
      <w:r>
        <w:rPr>
          <w:b/>
          <w:i/>
        </w:rPr>
        <w:t xml:space="preserve"> </w:t>
      </w:r>
      <w:r>
        <w:rPr>
          <w:b/>
        </w:rPr>
        <w:t>BIOT F346</w:t>
      </w:r>
    </w:p>
    <w:p w:rsidR="00E3765B" w:rsidRDefault="00A613FD">
      <w:pPr>
        <w:pStyle w:val="Heading2"/>
        <w:rPr>
          <w:b/>
          <w:i w:val="0"/>
        </w:rPr>
      </w:pPr>
      <w:r>
        <w:rPr>
          <w:b/>
        </w:rPr>
        <w:t>Course Title</w:t>
      </w:r>
      <w:r>
        <w:rPr>
          <w:b/>
          <w:i w:val="0"/>
        </w:rPr>
        <w:tab/>
      </w:r>
      <w:r>
        <w:rPr>
          <w:b/>
          <w:i w:val="0"/>
        </w:rPr>
        <w:tab/>
        <w:t>: Genomics</w:t>
      </w:r>
    </w:p>
    <w:p w:rsidR="00E3765B" w:rsidRDefault="00A613FD">
      <w:pPr>
        <w:pStyle w:val="Heading2"/>
        <w:rPr>
          <w:b/>
          <w:i w:val="0"/>
        </w:rPr>
      </w:pPr>
      <w:r>
        <w:rPr>
          <w:b/>
        </w:rPr>
        <w:t>Instructor-in-Charge</w:t>
      </w:r>
      <w:r>
        <w:rPr>
          <w:b/>
          <w:i w:val="0"/>
        </w:rPr>
        <w:tab/>
        <w:t>: GIREESHA T.M.</w:t>
      </w:r>
    </w:p>
    <w:p w:rsidR="00E3765B" w:rsidRDefault="00E3765B">
      <w:pPr>
        <w:rPr>
          <w:b/>
        </w:rPr>
      </w:pPr>
    </w:p>
    <w:p w:rsidR="00E3765B" w:rsidRDefault="00A613FD">
      <w:pPr>
        <w:rPr>
          <w:b/>
        </w:rPr>
      </w:pPr>
      <w:r>
        <w:rPr>
          <w:b/>
        </w:rPr>
        <w:t>1. Scope and Objective of the Course:</w:t>
      </w:r>
    </w:p>
    <w:p w:rsidR="00E3765B" w:rsidRDefault="00A613FD">
      <w:pPr>
        <w:jc w:val="both"/>
        <w:rPr>
          <w:b/>
        </w:rPr>
      </w:pPr>
      <w:r>
        <w:t xml:space="preserve">The objective of the course is to introduce the students to the concepts of Genomics. It is the study of an organism's entire </w:t>
      </w:r>
      <w:hyperlink r:id="rId9">
        <w:r>
          <w:rPr>
            <w:color w:val="000000"/>
          </w:rPr>
          <w:t>genome</w:t>
        </w:r>
      </w:hyperlink>
      <w:r>
        <w:t xml:space="preserve"> and major topics include, investigation of single genes, their biological functions/roles and their importance in the context of today's medical and biological research. The subtopics under Genomics include functi</w:t>
      </w:r>
      <w:r>
        <w:t xml:space="preserve">onal genomics, structural genomics, comparative genomics, </w:t>
      </w:r>
      <w:proofErr w:type="spellStart"/>
      <w:r>
        <w:t>epigenomics</w:t>
      </w:r>
      <w:proofErr w:type="spellEnd"/>
      <w:r>
        <w:t>, pharmacogenomics.</w:t>
      </w:r>
      <w:r>
        <w:rPr>
          <w:color w:val="000000"/>
        </w:rPr>
        <w:t xml:space="preserve"> A primary approach is to determine the entire sequence and structure of an organism's DNA (</w:t>
      </w:r>
      <w:hyperlink r:id="rId10">
        <w:r>
          <w:rPr>
            <w:color w:val="000000"/>
            <w:u w:val="single"/>
          </w:rPr>
          <w:t>genome</w:t>
        </w:r>
      </w:hyperlink>
      <w:r>
        <w:rPr>
          <w:color w:val="000000"/>
        </w:rPr>
        <w:t>) and then to d</w:t>
      </w:r>
      <w:r>
        <w:rPr>
          <w:color w:val="000000"/>
        </w:rPr>
        <w:t>etermine how that DNA is arranged into genes and how to study its functions.</w:t>
      </w:r>
    </w:p>
    <w:p w:rsidR="00E3765B" w:rsidRDefault="00E3765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E3765B" w:rsidRDefault="00A613F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2. Textbooks:</w:t>
      </w:r>
    </w:p>
    <w:p w:rsidR="00E3765B" w:rsidRDefault="00A613FD">
      <w:pPr>
        <w:numPr>
          <w:ilvl w:val="0"/>
          <w:numId w:val="2"/>
        </w:numPr>
      </w:pPr>
      <w:r>
        <w:t>Genomes, TA Brown, 3</w:t>
      </w:r>
      <w:r>
        <w:rPr>
          <w:vertAlign w:val="superscript"/>
        </w:rPr>
        <w:t>rd</w:t>
      </w:r>
      <w:r>
        <w:t xml:space="preserve"> Edition, Garland Science Publishing (this book is available from Amazon to buy)</w:t>
      </w:r>
    </w:p>
    <w:p w:rsidR="00E3765B" w:rsidRDefault="00A613FD">
      <w:pPr>
        <w:numPr>
          <w:ilvl w:val="0"/>
          <w:numId w:val="2"/>
        </w:numPr>
      </w:pPr>
      <w:r>
        <w:t xml:space="preserve">Introduction to Genomics, Arthur M. </w:t>
      </w:r>
      <w:proofErr w:type="spellStart"/>
      <w:r>
        <w:t>Lesk</w:t>
      </w:r>
      <w:proofErr w:type="spellEnd"/>
      <w:r>
        <w:t>, 2</w:t>
      </w:r>
      <w:r>
        <w:rPr>
          <w:vertAlign w:val="superscript"/>
        </w:rPr>
        <w:t>nd</w:t>
      </w:r>
      <w:r>
        <w:t xml:space="preserve"> Edition. Oxford University Press.</w:t>
      </w:r>
    </w:p>
    <w:p w:rsidR="00E3765B" w:rsidRDefault="00E3765B">
      <w:pPr>
        <w:jc w:val="both"/>
        <w:rPr>
          <w:b/>
        </w:rPr>
      </w:pPr>
    </w:p>
    <w:p w:rsidR="00E3765B" w:rsidRDefault="00A613FD">
      <w:pPr>
        <w:jc w:val="both"/>
        <w:rPr>
          <w:b/>
        </w:rPr>
      </w:pPr>
      <w:r>
        <w:rPr>
          <w:b/>
        </w:rPr>
        <w:t>3. Reference books</w:t>
      </w:r>
    </w:p>
    <w:p w:rsidR="00E3765B" w:rsidRDefault="00A613FD">
      <w:pPr>
        <w:numPr>
          <w:ilvl w:val="0"/>
          <w:numId w:val="1"/>
        </w:numPr>
      </w:pPr>
      <w:r>
        <w:t>Microbial Genome Methods, Kenneth W Adolph, CRC Press.</w:t>
      </w:r>
    </w:p>
    <w:p w:rsidR="00E3765B" w:rsidRDefault="00A613FD">
      <w:pPr>
        <w:numPr>
          <w:ilvl w:val="0"/>
          <w:numId w:val="1"/>
        </w:numPr>
      </w:pPr>
      <w:r>
        <w:t xml:space="preserve">Genome Analysis, A Laboratory Manual, Vol. 4, Mapping Genomes, Bruce </w:t>
      </w:r>
      <w:proofErr w:type="spellStart"/>
      <w:r>
        <w:t>Birren</w:t>
      </w:r>
      <w:proofErr w:type="spellEnd"/>
      <w:r>
        <w:t>, Cold Spring Harbor Laboratory Press.</w:t>
      </w:r>
    </w:p>
    <w:p w:rsidR="00E3765B" w:rsidRDefault="00E3765B">
      <w:pPr>
        <w:jc w:val="both"/>
        <w:rPr>
          <w:b/>
        </w:rPr>
      </w:pPr>
    </w:p>
    <w:p w:rsidR="00E3765B" w:rsidRDefault="00A613FD">
      <w:pPr>
        <w:jc w:val="both"/>
        <w:rPr>
          <w:b/>
        </w:rPr>
      </w:pPr>
      <w:r>
        <w:rPr>
          <w:b/>
        </w:rPr>
        <w:t>4. Course Plan:</w:t>
      </w:r>
    </w:p>
    <w:tbl>
      <w:tblPr>
        <w:tblStyle w:val="a"/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E3765B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</w:t>
            </w:r>
            <w:r>
              <w:rPr>
                <w:b/>
                <w:sz w:val="22"/>
                <w:szCs w:val="22"/>
              </w:rPr>
              <w:t>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Chapter in the Text Book</w:t>
            </w:r>
          </w:p>
        </w:tc>
      </w:tr>
      <w:tr w:rsidR="00E3765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t>1-8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Studying Genomes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rPr>
                <w:sz w:val="22"/>
                <w:szCs w:val="22"/>
              </w:rPr>
            </w:pPr>
            <w:r>
              <w:t>Genomes, Transcriptomes and Proteomes, Studying DNA, Mapping Genomes, Sequencing Genomes, Understanding a Genome Sequence, Understanding How a Genome Functions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t>T1: Ch. 1-6</w:t>
            </w:r>
          </w:p>
        </w:tc>
      </w:tr>
      <w:tr w:rsidR="00E3765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t>9-14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Genome Anatomies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r>
              <w:t>Eukaryotic Nuclear Genomes, Genomes of Prokaryotes and Eukaryotic Organelles, Virus Genomes and Mobile Genetic Elements</w:t>
            </w:r>
          </w:p>
          <w:p w:rsidR="00E3765B" w:rsidRDefault="00E3765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lastRenderedPageBreak/>
              <w:t>T1: Ch. 7-9</w:t>
            </w:r>
          </w:p>
        </w:tc>
      </w:tr>
      <w:tr w:rsidR="00E3765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rPr>
                <w:b/>
              </w:rPr>
              <w:t>Genome Variation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Types of variation between human genomes, pathogenic DNA variants, Detection and analysis of genome variations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sz w:val="22"/>
                <w:szCs w:val="22"/>
              </w:rPr>
            </w:pPr>
            <w:r>
              <w:t>Class notes</w:t>
            </w:r>
          </w:p>
        </w:tc>
      </w:tr>
      <w:tr w:rsidR="00E3765B">
        <w:trPr>
          <w:trHeight w:val="138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</w:pPr>
            <w:r>
              <w:t>17-</w:t>
            </w:r>
            <w:r>
              <w:rPr>
                <w:sz w:val="22"/>
                <w:szCs w:val="22"/>
              </w:rP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How Genomes Function</w:t>
            </w:r>
          </w:p>
          <w:p w:rsidR="00E3765B" w:rsidRDefault="00E3765B">
            <w:pPr>
              <w:jc w:val="center"/>
              <w:rPr>
                <w:b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5B" w:rsidRDefault="00A613FD">
            <w:r>
              <w:t xml:space="preserve">Accessing the Genome, Assembly of the Transcription Initiation Complex. </w:t>
            </w:r>
          </w:p>
          <w:p w:rsidR="00E3765B" w:rsidRDefault="00A613FD">
            <w:r>
              <w:t>Synthesis and Processing of RNA, Synthesis and Processing of the Proteome, Regulation of Genome Activity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</w:pPr>
            <w:r>
              <w:t>T1: Ch. 10-14</w:t>
            </w:r>
          </w:p>
          <w:p w:rsidR="00E3765B" w:rsidRDefault="00E3765B">
            <w:pPr>
              <w:jc w:val="center"/>
            </w:pPr>
          </w:p>
        </w:tc>
      </w:tr>
      <w:tr w:rsidR="00E3765B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</w:pPr>
            <w:r>
              <w:t>30-36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How Genomes Replicate and Evolve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r>
              <w:t xml:space="preserve">Genome Replication, Mutations and DNA Repair, Recombination, How Genomes Evolve, Molecular </w:t>
            </w:r>
            <w:proofErr w:type="spellStart"/>
            <w:r>
              <w:t>Phylogenetics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</w:pPr>
            <w:r>
              <w:t>T1: Ch. 15-19</w:t>
            </w:r>
          </w:p>
        </w:tc>
      </w:tr>
      <w:tr w:rsidR="00E3765B">
        <w:trPr>
          <w:trHeight w:val="408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</w:pPr>
            <w:r>
              <w:t>37-40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Systems biology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r>
              <w:t xml:space="preserve">Applications of genomics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3765B" w:rsidRDefault="00A613FD">
            <w:pPr>
              <w:jc w:val="center"/>
            </w:pPr>
            <w:r>
              <w:t>T2: Ch. 11</w:t>
            </w:r>
          </w:p>
        </w:tc>
      </w:tr>
    </w:tbl>
    <w:p w:rsidR="00E3765B" w:rsidRDefault="00E3765B">
      <w:pPr>
        <w:jc w:val="both"/>
      </w:pPr>
    </w:p>
    <w:p w:rsidR="00E3765B" w:rsidRDefault="00A613FD">
      <w:pPr>
        <w:jc w:val="both"/>
        <w:rPr>
          <w:b/>
        </w:rPr>
      </w:pPr>
      <w:r>
        <w:rPr>
          <w:b/>
        </w:rPr>
        <w:t>5. Evaluation Scheme:</w:t>
      </w:r>
    </w:p>
    <w:tbl>
      <w:tblPr>
        <w:tblStyle w:val="a0"/>
        <w:tblW w:w="922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170"/>
        <w:gridCol w:w="2090"/>
        <w:gridCol w:w="2408"/>
        <w:gridCol w:w="1764"/>
      </w:tblGrid>
      <w:tr w:rsidR="00E3765B">
        <w:trPr>
          <w:trHeight w:val="422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E3765B" w:rsidRDefault="00A613FD">
            <w:pPr>
              <w:jc w:val="center"/>
              <w:rPr>
                <w:b/>
              </w:rPr>
            </w:pPr>
            <w:r>
              <w:rPr>
                <w:b/>
              </w:rPr>
              <w:t>Nature of Component</w:t>
            </w:r>
          </w:p>
        </w:tc>
      </w:tr>
      <w:tr w:rsidR="00E3765B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 Quizzes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E3765B">
            <w:pPr>
              <w:jc w:val="center"/>
            </w:pP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10%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Pr="00ED5002" w:rsidRDefault="00A613FD" w:rsidP="00ED5002">
            <w:pPr>
              <w:jc w:val="center"/>
              <w:rPr>
                <w:sz w:val="22"/>
              </w:rPr>
            </w:pPr>
            <w:r w:rsidRPr="00ED5002">
              <w:rPr>
                <w:sz w:val="22"/>
              </w:rPr>
              <w:t>Variable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E3765B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proofErr w:type="spellStart"/>
            <w:r>
              <w:rPr>
                <w:color w:val="000000"/>
                <w:sz w:val="22"/>
                <w:szCs w:val="22"/>
              </w:rPr>
              <w:t>Midsemester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30%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Pr="00ED5002" w:rsidRDefault="00ED5002" w:rsidP="00ED5002">
            <w:pPr>
              <w:jc w:val="center"/>
              <w:rPr>
                <w:sz w:val="22"/>
              </w:rPr>
            </w:pPr>
            <w:r w:rsidRPr="00ED5002">
              <w:rPr>
                <w:sz w:val="22"/>
              </w:rPr>
              <w:t>10/03 11.00am to12.30pm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  <w:tr w:rsidR="00E3765B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2 Assignments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E3765B">
            <w:pPr>
              <w:jc w:val="center"/>
            </w:pPr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 xml:space="preserve">20% 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Pr="00ED5002" w:rsidRDefault="00A613FD" w:rsidP="00ED5002">
            <w:pPr>
              <w:jc w:val="center"/>
              <w:rPr>
                <w:sz w:val="22"/>
              </w:rPr>
            </w:pPr>
            <w:r w:rsidRPr="00ED5002">
              <w:rPr>
                <w:sz w:val="22"/>
              </w:rPr>
              <w:t>Variable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Open Book</w:t>
            </w:r>
          </w:p>
        </w:tc>
      </w:tr>
      <w:tr w:rsidR="00E3765B">
        <w:trPr>
          <w:trHeight w:val="530"/>
          <w:jc w:val="center"/>
        </w:trPr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Comprehensive examination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t xml:space="preserve">120 </w:t>
            </w:r>
            <w:proofErr w:type="spellStart"/>
            <w:r>
              <w:t>mins</w:t>
            </w:r>
            <w:proofErr w:type="spellEnd"/>
          </w:p>
        </w:tc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40 %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Pr="00ED5002" w:rsidRDefault="00ED5002" w:rsidP="00ED5002">
            <w:pPr>
              <w:jc w:val="center"/>
              <w:rPr>
                <w:sz w:val="22"/>
              </w:rPr>
            </w:pPr>
            <w:r w:rsidRPr="00ED5002">
              <w:rPr>
                <w:sz w:val="22"/>
              </w:rPr>
              <w:t>06/05 AN</w:t>
            </w: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3765B" w:rsidRDefault="00A613FD">
            <w:pPr>
              <w:jc w:val="center"/>
            </w:pPr>
            <w:r>
              <w:rPr>
                <w:color w:val="000000"/>
                <w:sz w:val="22"/>
                <w:szCs w:val="22"/>
              </w:rPr>
              <w:t>Closed Book</w:t>
            </w:r>
          </w:p>
        </w:tc>
      </w:tr>
    </w:tbl>
    <w:p w:rsidR="00E3765B" w:rsidRDefault="00E3765B">
      <w:pPr>
        <w:jc w:val="both"/>
      </w:pPr>
    </w:p>
    <w:p w:rsidR="00E3765B" w:rsidRDefault="00A613FD">
      <w:pPr>
        <w:jc w:val="both"/>
      </w:pPr>
      <w:bookmarkStart w:id="0" w:name="_heading=h.gjdgxs" w:colFirst="0" w:colLast="0"/>
      <w:bookmarkEnd w:id="0"/>
      <w:r>
        <w:rPr>
          <w:b/>
        </w:rPr>
        <w:t>6. Chamber Consultation Hour:</w:t>
      </w:r>
      <w:r>
        <w:t xml:space="preserve"> The specific timings and logistics of consultation will be finalized after discussion with the class.</w:t>
      </w:r>
    </w:p>
    <w:p w:rsidR="00E3765B" w:rsidRDefault="00E3765B">
      <w:pPr>
        <w:jc w:val="both"/>
      </w:pPr>
    </w:p>
    <w:p w:rsidR="00E3765B" w:rsidRDefault="00A613FD">
      <w:pPr>
        <w:jc w:val="both"/>
      </w:pPr>
      <w:r>
        <w:rPr>
          <w:b/>
        </w:rPr>
        <w:t>7. Notices:</w:t>
      </w:r>
      <w:r>
        <w:t xml:space="preserve"> Notices will be displayed on the course pages of CMS or through email. </w:t>
      </w:r>
    </w:p>
    <w:p w:rsidR="00E3765B" w:rsidRDefault="00E3765B">
      <w:pPr>
        <w:ind w:left="1800" w:hanging="1800"/>
        <w:jc w:val="both"/>
        <w:rPr>
          <w:b/>
        </w:rPr>
      </w:pPr>
    </w:p>
    <w:p w:rsidR="00E3765B" w:rsidRDefault="00A613FD">
      <w:pPr>
        <w:ind w:left="1800" w:hanging="1800"/>
        <w:jc w:val="both"/>
      </w:pPr>
      <w:r>
        <w:rPr>
          <w:b/>
        </w:rPr>
        <w:t>8. Make-up Policy:</w:t>
      </w:r>
      <w:r>
        <w:t xml:space="preserve"> Prior Permission has to be obtained from the Instructor-in-Charge for make-ups. No makeup for assignments.</w:t>
      </w:r>
    </w:p>
    <w:p w:rsidR="00E3765B" w:rsidRDefault="00E3765B">
      <w:pPr>
        <w:jc w:val="both"/>
        <w:rPr>
          <w:b/>
        </w:rPr>
      </w:pPr>
      <w:bookmarkStart w:id="1" w:name="_GoBack"/>
      <w:bookmarkEnd w:id="1"/>
    </w:p>
    <w:p w:rsidR="00C912BE" w:rsidRPr="00E81B5D" w:rsidRDefault="00A613FD" w:rsidP="00C912BE">
      <w:pPr>
        <w:ind w:hanging="2"/>
      </w:pPr>
      <w:r>
        <w:rPr>
          <w:b/>
          <w:sz w:val="22"/>
          <w:szCs w:val="22"/>
        </w:rPr>
        <w:t xml:space="preserve">9. </w:t>
      </w:r>
      <w:r w:rsidR="00C912BE" w:rsidRPr="00E81B5D">
        <w:rPr>
          <w:b/>
        </w:rPr>
        <w:t>Academic Honesty and Integrity Policy</w:t>
      </w:r>
      <w:r w:rsidR="00C912BE" w:rsidRPr="00E81B5D">
        <w:t>: Academic honesty and integrity are to be maintained by all the students throughout the semester and no type of academic dishonesty is acceptable.</w:t>
      </w:r>
    </w:p>
    <w:p w:rsidR="00C912BE" w:rsidRDefault="00C912BE" w:rsidP="00C912BE">
      <w:pPr>
        <w:ind w:hanging="2"/>
      </w:pPr>
    </w:p>
    <w:p w:rsidR="00E3765B" w:rsidRDefault="00E3765B">
      <w:pPr>
        <w:jc w:val="both"/>
        <w:rPr>
          <w:b/>
        </w:rPr>
      </w:pPr>
    </w:p>
    <w:p w:rsidR="00E3765B" w:rsidRDefault="00E3765B">
      <w:pPr>
        <w:pStyle w:val="Heading3"/>
        <w:jc w:val="right"/>
      </w:pPr>
    </w:p>
    <w:p w:rsidR="00E3765B" w:rsidRDefault="00A613FD">
      <w:pPr>
        <w:pStyle w:val="Heading3"/>
        <w:jc w:val="right"/>
      </w:pPr>
      <w:r>
        <w:t>Instructor-in-Charge</w:t>
      </w:r>
    </w:p>
    <w:p w:rsidR="00E3765B" w:rsidRDefault="00A613F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</w:t>
      </w:r>
    </w:p>
    <w:sectPr w:rsidR="00E3765B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3FD" w:rsidRDefault="00A613FD">
      <w:r>
        <w:separator/>
      </w:r>
    </w:p>
  </w:endnote>
  <w:endnote w:type="continuationSeparator" w:id="0">
    <w:p w:rsidR="00A613FD" w:rsidRDefault="00A61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65B" w:rsidRDefault="00A613F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  <w:lang w:val="en-IN" w:eastAsia="en-IN"/>
      </w:rPr>
      <w:drawing>
        <wp:inline distT="0" distB="0" distL="0" distR="0">
          <wp:extent cx="1647825" cy="600075"/>
          <wp:effectExtent l="0" t="0" r="0" b="0"/>
          <wp:docPr id="4" name="image2.jpg" descr="Tagline_color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Tagline_color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7825" cy="600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3FD" w:rsidRDefault="00A613FD">
      <w:r>
        <w:separator/>
      </w:r>
    </w:p>
  </w:footnote>
  <w:footnote w:type="continuationSeparator" w:id="0">
    <w:p w:rsidR="00A613FD" w:rsidRDefault="00A613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65B" w:rsidRDefault="00E376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00E7"/>
    <w:multiLevelType w:val="multilevel"/>
    <w:tmpl w:val="8786AE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35DC6"/>
    <w:multiLevelType w:val="multilevel"/>
    <w:tmpl w:val="6A8E48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5B"/>
    <w:rsid w:val="00A613FD"/>
    <w:rsid w:val="00C912BE"/>
    <w:rsid w:val="00E3765B"/>
    <w:rsid w:val="00ED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8B761"/>
  <w15:docId w15:val="{8553214A-C82F-4A33-B35A-602088DD1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B2F06"/>
    <w:rPr>
      <w:sz w:val="24"/>
      <w:szCs w:val="24"/>
      <w:lang w:val="en-US" w:eastAsia="en-US"/>
    </w:rPr>
  </w:style>
  <w:style w:type="character" w:styleId="Hyperlink">
    <w:name w:val="Hyperlink"/>
    <w:semiHidden/>
    <w:rsid w:val="00745B9C"/>
    <w:rPr>
      <w:rFonts w:ascii="Verdana" w:hAnsi="Verdana" w:hint="default"/>
      <w:color w:val="003399"/>
      <w:u w:val="single"/>
    </w:rPr>
  </w:style>
  <w:style w:type="character" w:styleId="Strong">
    <w:name w:val="Strong"/>
    <w:qFormat/>
    <w:rsid w:val="00745B9C"/>
    <w:rPr>
      <w:b/>
      <w:bCs/>
    </w:rPr>
  </w:style>
  <w:style w:type="paragraph" w:styleId="NoSpacing">
    <w:name w:val="No Spacing"/>
    <w:uiPriority w:val="1"/>
    <w:qFormat/>
    <w:rsid w:val="00745B9C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071F74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nswers.com/topic/gen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enom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gkexuhNYvPiy4ZUhTYZr9xMIdQ==">AMUW2mW3cbQNJOPG2gA6mBrHXUAhNQdjak9WGNI5hTHnjzAJSlqfTJK/tylwmQfGnK8FPOPveQ59uNUv7goN4SCDg4B8ZoJ6nL2KGa0tZGo8fIgL8abn1z/dMbliUTnQzyD2RaPgBUvs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Vasan</dc:creator>
  <cp:lastModifiedBy>BITS</cp:lastModifiedBy>
  <cp:revision>3</cp:revision>
  <dcterms:created xsi:type="dcterms:W3CDTF">2022-01-07T10:58:00Z</dcterms:created>
  <dcterms:modified xsi:type="dcterms:W3CDTF">2022-01-12T16:43:00Z</dcterms:modified>
</cp:coreProperties>
</file>