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AE1" w:rsidRDefault="00BE0E9A">
      <w:pPr>
        <w:jc w:val="center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3" name="image2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1AE1" w:rsidRDefault="00BE0E9A">
      <w:pPr>
        <w:jc w:val="center"/>
        <w:rPr>
          <w:b/>
        </w:rPr>
      </w:pPr>
      <w:r>
        <w:rPr>
          <w:b/>
        </w:rPr>
        <w:t>ACADEMIC – GRADUATE STUDIES AND RESEARCH DIVISION</w:t>
      </w:r>
    </w:p>
    <w:p w:rsidR="00751AE1" w:rsidRDefault="00BE0E9A">
      <w:pPr>
        <w:jc w:val="center"/>
        <w:rPr>
          <w:b/>
        </w:rPr>
      </w:pPr>
      <w:r>
        <w:rPr>
          <w:b/>
        </w:rPr>
        <w:t xml:space="preserve"> BIRLA INSTITUTE OF TECHNOLOGY AND SCIENCE, PILANI-HYDERABAD CAMPUS</w:t>
      </w:r>
    </w:p>
    <w:p w:rsidR="00751AE1" w:rsidRDefault="00BE0E9A">
      <w:pPr>
        <w:jc w:val="center"/>
        <w:rPr>
          <w:b/>
        </w:rPr>
      </w:pPr>
      <w:r>
        <w:rPr>
          <w:b/>
        </w:rPr>
        <w:t>SECOND SEMESTER 2021-2022</w:t>
      </w:r>
    </w:p>
    <w:p w:rsidR="00751AE1" w:rsidRDefault="00BE0E9A">
      <w:pPr>
        <w:pStyle w:val="Heading1"/>
        <w:jc w:val="center"/>
      </w:pPr>
      <w:r>
        <w:t>Course Handout Part II</w:t>
      </w:r>
    </w:p>
    <w:p w:rsidR="00751AE1" w:rsidRDefault="00BE0E9A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15-01-2022 </w:t>
      </w:r>
    </w:p>
    <w:p w:rsidR="00751AE1" w:rsidRDefault="00751AE1">
      <w:pPr>
        <w:jc w:val="right"/>
      </w:pPr>
    </w:p>
    <w:p w:rsidR="00751AE1" w:rsidRDefault="00BE0E9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In addition to Part-I (General Handout for all courses appended to the time table) this portion gives further specific details regarding the course.</w:t>
      </w:r>
    </w:p>
    <w:p w:rsidR="00751AE1" w:rsidRDefault="00751AE1">
      <w:pPr>
        <w:spacing w:line="276" w:lineRule="auto"/>
      </w:pPr>
    </w:p>
    <w:p w:rsidR="00751AE1" w:rsidRDefault="00BE0E9A">
      <w:pPr>
        <w:spacing w:line="276" w:lineRule="auto"/>
      </w:pPr>
      <w:r>
        <w:rPr>
          <w:i/>
        </w:rPr>
        <w:t>Course No.</w:t>
      </w:r>
      <w:r>
        <w:tab/>
      </w:r>
      <w:r>
        <w:tab/>
      </w:r>
      <w:r>
        <w:tab/>
        <w:t>: CE G613</w:t>
      </w:r>
    </w:p>
    <w:p w:rsidR="00751AE1" w:rsidRDefault="00BE0E9A">
      <w:r>
        <w:t>Course Title</w:t>
      </w:r>
      <w:r>
        <w:tab/>
      </w:r>
      <w:r>
        <w:tab/>
      </w:r>
      <w:r>
        <w:tab/>
        <w:t>: ADVANCED CONCRETE STRUCTURES</w:t>
      </w:r>
    </w:p>
    <w:p w:rsidR="00751AE1" w:rsidRDefault="00BE0E9A">
      <w:pPr>
        <w:pStyle w:val="Heading2"/>
        <w:spacing w:line="276" w:lineRule="auto"/>
        <w:rPr>
          <w:i w:val="0"/>
        </w:rPr>
      </w:pPr>
      <w:r>
        <w:t>Instructor-in-Charge</w:t>
      </w:r>
      <w:r>
        <w:rPr>
          <w:i w:val="0"/>
        </w:rPr>
        <w:tab/>
      </w:r>
      <w:r>
        <w:rPr>
          <w:i w:val="0"/>
        </w:rPr>
        <w:tab/>
        <w:t xml:space="preserve">: </w:t>
      </w:r>
      <w:proofErr w:type="spellStart"/>
      <w:r>
        <w:rPr>
          <w:i w:val="0"/>
        </w:rPr>
        <w:t>Bahurudeen</w:t>
      </w:r>
      <w:proofErr w:type="spellEnd"/>
      <w:r>
        <w:rPr>
          <w:i w:val="0"/>
        </w:rPr>
        <w:t xml:space="preserve"> A</w:t>
      </w:r>
    </w:p>
    <w:p w:rsidR="00A464C1" w:rsidRPr="00A464C1" w:rsidRDefault="00A464C1" w:rsidP="00A464C1"/>
    <w:p w:rsidR="00A464C1" w:rsidRPr="00A464C1" w:rsidRDefault="00A464C1" w:rsidP="00A464C1">
      <w:pPr>
        <w:autoSpaceDE w:val="0"/>
        <w:autoSpaceDN w:val="0"/>
        <w:adjustRightInd w:val="0"/>
      </w:pPr>
      <w:r>
        <w:rPr>
          <w:b/>
        </w:rPr>
        <w:t xml:space="preserve">Description: </w:t>
      </w:r>
      <w:r w:rsidRPr="00A464C1">
        <w:t>Materials; high strength concrete, flexure analysis and design;</w:t>
      </w:r>
      <w:r w:rsidRPr="00A464C1">
        <w:t xml:space="preserve"> </w:t>
      </w:r>
      <w:r w:rsidRPr="00A464C1">
        <w:t>shear and diagonal tension; bond and anchorage; serviceability;</w:t>
      </w:r>
      <w:r>
        <w:t xml:space="preserve"> </w:t>
      </w:r>
      <w:r w:rsidRPr="00A464C1">
        <w:t>torsion; columns; joints; indeterminate beams and frames; yield</w:t>
      </w:r>
      <w:r w:rsidRPr="00A464C1">
        <w:t xml:space="preserve"> </w:t>
      </w:r>
      <w:r w:rsidRPr="00A464C1">
        <w:t>line analysis; strip method for slabs; composite construction;</w:t>
      </w:r>
      <w:r w:rsidRPr="00A464C1">
        <w:t xml:space="preserve"> </w:t>
      </w:r>
      <w:r w:rsidRPr="00A464C1">
        <w:t>footing and foundations; concrete building system; concrete tall</w:t>
      </w:r>
      <w:r w:rsidRPr="00A464C1">
        <w:t xml:space="preserve"> </w:t>
      </w:r>
      <w:r w:rsidRPr="00A464C1">
        <w:t>buildings, detailing in concrete structures</w:t>
      </w:r>
    </w:p>
    <w:p w:rsidR="00751AE1" w:rsidRDefault="00BE0E9A">
      <w:pPr>
        <w:spacing w:before="240" w:after="240" w:line="276" w:lineRule="auto"/>
        <w:rPr>
          <w:b/>
        </w:rPr>
      </w:pPr>
      <w:r>
        <w:rPr>
          <w:b/>
        </w:rPr>
        <w:t>S</w:t>
      </w:r>
      <w:r>
        <w:rPr>
          <w:b/>
        </w:rPr>
        <w:t>cope and objective of the Course:</w:t>
      </w:r>
    </w:p>
    <w:p w:rsidR="00751AE1" w:rsidRDefault="00BE0E9A">
      <w:pPr>
        <w:spacing w:before="240" w:after="240" w:line="276" w:lineRule="auto"/>
        <w:jc w:val="both"/>
      </w:pPr>
      <w:r>
        <w:t xml:space="preserve">This course delivers an enhanced overview on design of reinforced concrete structures. Methods of </w:t>
      </w:r>
      <w:proofErr w:type="spellStart"/>
      <w:r>
        <w:t>deign</w:t>
      </w:r>
      <w:proofErr w:type="spellEnd"/>
      <w:r>
        <w:t>, salient specifications and design details are discussed in the course. Furthermore, the course provides the design d</w:t>
      </w:r>
      <w:r>
        <w:t xml:space="preserve">etails for flexure, shear, torsion, </w:t>
      </w:r>
      <w:r>
        <w:rPr>
          <w:color w:val="000000"/>
        </w:rPr>
        <w:t xml:space="preserve">bond and anchorage. </w:t>
      </w:r>
      <w:r>
        <w:t>Principles and methods of design for salient reinforced concrete members are discussed in the course.</w:t>
      </w:r>
    </w:p>
    <w:p w:rsidR="00751AE1" w:rsidRDefault="00BE0E9A">
      <w:pPr>
        <w:spacing w:line="276" w:lineRule="auto"/>
      </w:pPr>
      <w:r>
        <w:rPr>
          <w:b/>
        </w:rPr>
        <w:t>Course Outcomes</w:t>
      </w:r>
      <w:r>
        <w:t>:</w:t>
      </w:r>
    </w:p>
    <w:p w:rsidR="00751AE1" w:rsidRDefault="00751AE1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751AE1" w:rsidRDefault="00BE0E9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3" w:lineRule="auto"/>
        <w:ind w:right="153"/>
      </w:pPr>
      <w:r>
        <w:rPr>
          <w:color w:val="000000"/>
        </w:rPr>
        <w:t xml:space="preserve">On the completion of the course the learner will be able to apply the salient </w:t>
      </w:r>
      <w:proofErr w:type="spellStart"/>
      <w:r>
        <w:rPr>
          <w:color w:val="000000"/>
        </w:rPr>
        <w:t>codal</w:t>
      </w:r>
      <w:proofErr w:type="spellEnd"/>
      <w:r>
        <w:rPr>
          <w:color w:val="000000"/>
        </w:rPr>
        <w:t xml:space="preserve"> specifications for the design of reinforced concrete members.</w:t>
      </w:r>
    </w:p>
    <w:p w:rsidR="00751AE1" w:rsidRDefault="00BE0E9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  <w:tab w:val="left" w:pos="1790"/>
          <w:tab w:val="left" w:pos="2982"/>
          <w:tab w:val="left" w:pos="3366"/>
          <w:tab w:val="left" w:pos="5892"/>
          <w:tab w:val="left" w:pos="6434"/>
          <w:tab w:val="left" w:pos="7782"/>
          <w:tab w:val="left" w:pos="9809"/>
        </w:tabs>
        <w:spacing w:before="2" w:line="273" w:lineRule="auto"/>
        <w:ind w:right="149"/>
      </w:pPr>
      <w:r>
        <w:rPr>
          <w:color w:val="000000"/>
        </w:rPr>
        <w:t>On</w:t>
      </w:r>
      <w:r>
        <w:rPr>
          <w:color w:val="000000"/>
        </w:rPr>
        <w:tab/>
        <w:t xml:space="preserve">completion of </w:t>
      </w:r>
      <w:proofErr w:type="gramStart"/>
      <w:r>
        <w:rPr>
          <w:color w:val="000000"/>
        </w:rPr>
        <w:t>the  course</w:t>
      </w:r>
      <w:proofErr w:type="gramEnd"/>
      <w:r>
        <w:rPr>
          <w:color w:val="000000"/>
        </w:rPr>
        <w:t xml:space="preserve"> the learner will be able to analyze different sections used in reinforced concret</w:t>
      </w:r>
      <w:r>
        <w:rPr>
          <w:color w:val="000000"/>
        </w:rPr>
        <w:t>e construction based on the principles of limit state design</w:t>
      </w:r>
    </w:p>
    <w:p w:rsidR="00751AE1" w:rsidRDefault="00BE0E9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before="2" w:line="276" w:lineRule="auto"/>
        <w:ind w:right="147"/>
      </w:pPr>
      <w:r>
        <w:rPr>
          <w:color w:val="000000"/>
        </w:rPr>
        <w:t xml:space="preserve">On completion of the course the student will be able to design and detail for flexure, shear and torsional </w:t>
      </w:r>
      <w:r>
        <w:t>reinforcement</w:t>
      </w:r>
      <w:r>
        <w:rPr>
          <w:color w:val="000000"/>
        </w:rPr>
        <w:t xml:space="preserve"> in </w:t>
      </w:r>
      <w:r>
        <w:t>various</w:t>
      </w:r>
      <w:r>
        <w:rPr>
          <w:color w:val="000000"/>
        </w:rPr>
        <w:t xml:space="preserve"> </w:t>
      </w:r>
      <w:r>
        <w:t>sections</w:t>
      </w:r>
      <w:r>
        <w:rPr>
          <w:color w:val="000000"/>
        </w:rPr>
        <w:t xml:space="preserve"> of reinforced concrete.</w:t>
      </w:r>
    </w:p>
    <w:p w:rsidR="00751AE1" w:rsidRDefault="00BE0E9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20"/>
          <w:tab w:val="left" w:pos="1321"/>
        </w:tabs>
        <w:spacing w:line="273" w:lineRule="auto"/>
        <w:ind w:right="142"/>
      </w:pPr>
      <w:r>
        <w:rPr>
          <w:color w:val="000000"/>
        </w:rPr>
        <w:t xml:space="preserve">On the completion of course the student </w:t>
      </w:r>
      <w:r>
        <w:t>will be able</w:t>
      </w:r>
      <w:r>
        <w:rPr>
          <w:color w:val="000000"/>
        </w:rPr>
        <w:t xml:space="preserve"> to interrelate specifications and insight on design procedure of limit state.</w:t>
      </w:r>
    </w:p>
    <w:p w:rsidR="00751AE1" w:rsidRDefault="00751AE1">
      <w:pPr>
        <w:rPr>
          <w:b/>
        </w:rPr>
      </w:pPr>
    </w:p>
    <w:p w:rsidR="00751AE1" w:rsidRDefault="00BE0E9A">
      <w:pPr>
        <w:spacing w:after="240" w:line="276" w:lineRule="auto"/>
        <w:jc w:val="both"/>
        <w:rPr>
          <w:b/>
        </w:rPr>
      </w:pPr>
      <w:r>
        <w:rPr>
          <w:b/>
        </w:rPr>
        <w:t>Text Book:</w:t>
      </w:r>
    </w:p>
    <w:p w:rsidR="00751AE1" w:rsidRDefault="00BE0E9A">
      <w:pPr>
        <w:tabs>
          <w:tab w:val="left" w:pos="720"/>
          <w:tab w:val="left" w:pos="1440"/>
        </w:tabs>
        <w:spacing w:line="276" w:lineRule="auto"/>
        <w:jc w:val="both"/>
      </w:pPr>
      <w:r>
        <w:rPr>
          <w:b/>
        </w:rPr>
        <w:t>T1.</w:t>
      </w:r>
      <w:r>
        <w:t xml:space="preserve"> Varghese PC., Advanced Reinforced Concrete Design, PHI Publication, 2</w:t>
      </w:r>
      <w:r>
        <w:rPr>
          <w:vertAlign w:val="superscript"/>
        </w:rPr>
        <w:t>nd</w:t>
      </w:r>
      <w:r>
        <w:t xml:space="preserve"> Edition, 2005</w:t>
      </w:r>
    </w:p>
    <w:p w:rsidR="00751AE1" w:rsidRDefault="00751AE1">
      <w:pPr>
        <w:tabs>
          <w:tab w:val="left" w:pos="720"/>
          <w:tab w:val="left" w:pos="1440"/>
        </w:tabs>
        <w:spacing w:line="276" w:lineRule="auto"/>
        <w:jc w:val="both"/>
      </w:pPr>
    </w:p>
    <w:p w:rsidR="00751AE1" w:rsidRDefault="00BE0E9A">
      <w:pPr>
        <w:spacing w:before="240" w:after="240" w:line="276" w:lineRule="auto"/>
        <w:jc w:val="both"/>
        <w:rPr>
          <w:b/>
        </w:rPr>
      </w:pPr>
      <w:r>
        <w:rPr>
          <w:b/>
        </w:rPr>
        <w:t>Reference Books:</w:t>
      </w:r>
    </w:p>
    <w:p w:rsidR="00751AE1" w:rsidRDefault="00BE0E9A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R1.</w:t>
      </w:r>
      <w:r>
        <w:rPr>
          <w:color w:val="000000"/>
        </w:rPr>
        <w:t xml:space="preserve"> Subramanian, N., Design of Reinforced Concrete Structures, Oxford Publishers, 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 2018</w:t>
      </w:r>
    </w:p>
    <w:p w:rsidR="00751AE1" w:rsidRDefault="00BE0E9A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R2.</w:t>
      </w:r>
      <w:r>
        <w:rPr>
          <w:color w:val="000000"/>
        </w:rPr>
        <w:t xml:space="preserve"> Krishna Raju, N., Design of reinforced Concrete Structures, CBS Publishers, 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 2016 </w:t>
      </w:r>
    </w:p>
    <w:p w:rsidR="00751AE1" w:rsidRDefault="00751AE1">
      <w:pPr>
        <w:spacing w:line="276" w:lineRule="auto"/>
        <w:jc w:val="both"/>
        <w:rPr>
          <w:color w:val="000000"/>
        </w:rPr>
      </w:pPr>
    </w:p>
    <w:p w:rsidR="00751AE1" w:rsidRDefault="00BE0E9A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R3.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Bandyopadhyay</w:t>
      </w:r>
      <w:proofErr w:type="spellEnd"/>
      <w:r>
        <w:rPr>
          <w:color w:val="000000"/>
        </w:rPr>
        <w:t>, J.N., Design of Concrete structures, PHI Publisher, 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 2018.</w:t>
      </w:r>
    </w:p>
    <w:p w:rsidR="00751AE1" w:rsidRDefault="00BE0E9A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R4.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Gambhir</w:t>
      </w:r>
      <w:proofErr w:type="spellEnd"/>
      <w:r>
        <w:rPr>
          <w:color w:val="000000"/>
        </w:rPr>
        <w:t>, M.L., Design of reinforced Concrete structures, PHI Publisher, 8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Edition, 2017.</w:t>
      </w:r>
    </w:p>
    <w:p w:rsidR="00751AE1" w:rsidRDefault="00BE0E9A">
      <w:pPr>
        <w:spacing w:line="276" w:lineRule="auto"/>
        <w:jc w:val="both"/>
        <w:rPr>
          <w:color w:val="000000"/>
        </w:rPr>
      </w:pPr>
      <w:r>
        <w:rPr>
          <w:b/>
          <w:color w:val="000000"/>
        </w:rPr>
        <w:t>R5.</w:t>
      </w:r>
      <w:r>
        <w:rPr>
          <w:color w:val="000000"/>
        </w:rPr>
        <w:t xml:space="preserve"> Pillai and Menon D., Reinforced Concrete design, McGraw Hill Publisher</w:t>
      </w:r>
      <w:r>
        <w:rPr>
          <w:color w:val="000000"/>
        </w:rPr>
        <w:t>,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Edition, 2009.</w:t>
      </w:r>
    </w:p>
    <w:p w:rsidR="00751AE1" w:rsidRDefault="00BE0E9A">
      <w:pPr>
        <w:spacing w:before="240"/>
        <w:jc w:val="both"/>
        <w:rPr>
          <w:b/>
        </w:rPr>
      </w:pPr>
      <w:r>
        <w:rPr>
          <w:b/>
        </w:rPr>
        <w:t>Course Plan:</w:t>
      </w:r>
    </w:p>
    <w:p w:rsidR="00751AE1" w:rsidRDefault="00751AE1">
      <w:pPr>
        <w:jc w:val="both"/>
        <w:rPr>
          <w:b/>
        </w:rPr>
      </w:pPr>
    </w:p>
    <w:tbl>
      <w:tblPr>
        <w:tblStyle w:val="a"/>
        <w:tblW w:w="106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3"/>
        <w:gridCol w:w="2662"/>
        <w:gridCol w:w="4008"/>
        <w:gridCol w:w="1419"/>
        <w:gridCol w:w="1419"/>
      </w:tblGrid>
      <w:tr w:rsidR="00751AE1">
        <w:trPr>
          <w:trHeight w:val="512"/>
          <w:jc w:val="center"/>
        </w:trPr>
        <w:tc>
          <w:tcPr>
            <w:tcW w:w="1113" w:type="dxa"/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 xml:space="preserve">No. of Lectures </w:t>
            </w:r>
          </w:p>
        </w:tc>
        <w:tc>
          <w:tcPr>
            <w:tcW w:w="2662" w:type="dxa"/>
            <w:shd w:val="clear" w:color="auto" w:fill="F3F3F3"/>
            <w:vAlign w:val="center"/>
          </w:tcPr>
          <w:p w:rsidR="00751AE1" w:rsidRDefault="00BE0E9A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Learning Objectives</w:t>
            </w:r>
          </w:p>
        </w:tc>
        <w:tc>
          <w:tcPr>
            <w:tcW w:w="4008" w:type="dxa"/>
            <w:shd w:val="clear" w:color="auto" w:fill="F3F3F3"/>
            <w:vAlign w:val="center"/>
          </w:tcPr>
          <w:p w:rsidR="00751AE1" w:rsidRDefault="00BE0E9A">
            <w:pPr>
              <w:pStyle w:val="Heading1"/>
              <w:jc w:val="center"/>
              <w:rPr>
                <w:b/>
                <w:u w:val="none"/>
              </w:rPr>
            </w:pPr>
            <w:r>
              <w:rPr>
                <w:b/>
                <w:u w:val="none"/>
              </w:rPr>
              <w:t>Topics to be covered</w:t>
            </w:r>
          </w:p>
        </w:tc>
        <w:tc>
          <w:tcPr>
            <w:tcW w:w="1419" w:type="dxa"/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1419" w:type="dxa"/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SLO</w:t>
            </w:r>
          </w:p>
        </w:tc>
      </w:tr>
      <w:tr w:rsidR="00751AE1">
        <w:trPr>
          <w:trHeight w:val="638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r>
              <w:t>1-6</w:t>
            </w: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r>
              <w:t>Outline the basic methods used for reinforced concrete design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Basics; Introduction to methods of design; Working stress method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1, R3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(h),(j)</w:t>
            </w:r>
          </w:p>
        </w:tc>
      </w:tr>
      <w:tr w:rsidR="00751AE1">
        <w:trPr>
          <w:trHeight w:val="638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bookmarkStart w:id="0" w:name="_heading=h.gjdgxs" w:colFirst="0" w:colLast="0"/>
            <w:bookmarkEnd w:id="0"/>
            <w:r>
              <w:t xml:space="preserve">7-9  </w:t>
            </w: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r>
              <w:t>List important material parameters for concrete and steel reinforcement.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Materials; Reinforcement; High Strength Concrete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2, R5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</w:tr>
      <w:tr w:rsidR="00751AE1">
        <w:trPr>
          <w:trHeight w:val="521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r>
              <w:t>10-15</w:t>
            </w: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proofErr w:type="spellStart"/>
            <w:r>
              <w:t>Analyse</w:t>
            </w:r>
            <w:proofErr w:type="spellEnd"/>
            <w:r>
              <w:t xml:space="preserve"> rectangular and flange sections for flexure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Flexure Analysis and Design: Limit state method; Assumptions and flexural strength</w:t>
            </w:r>
          </w:p>
          <w:p w:rsidR="00751AE1" w:rsidRDefault="00751AE1">
            <w:pPr>
              <w:jc w:val="both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4, R2</w:t>
            </w:r>
          </w:p>
          <w:p w:rsidR="00751AE1" w:rsidRDefault="00BE0E9A">
            <w:pPr>
              <w:jc w:val="center"/>
            </w:pPr>
            <w:r>
              <w:t>4, R3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(e)</w:t>
            </w:r>
          </w:p>
        </w:tc>
      </w:tr>
      <w:tr w:rsidR="00751AE1">
        <w:trPr>
          <w:trHeight w:val="629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r>
              <w:t>16-19</w:t>
            </w: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r>
              <w:t>Recite the design steps for shear reinforcement in order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jc w:val="both"/>
            </w:pPr>
            <w:r>
              <w:rPr>
                <w:color w:val="000000"/>
              </w:rPr>
              <w:t>Shear and Diagonal Tension: Design shear strength; Detailing of shear reinforcement.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5, R2</w:t>
            </w:r>
          </w:p>
          <w:p w:rsidR="00751AE1" w:rsidRDefault="00BE0E9A">
            <w:pPr>
              <w:jc w:val="center"/>
            </w:pPr>
            <w:r>
              <w:t>7, R3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(e), (k)</w:t>
            </w:r>
          </w:p>
        </w:tc>
      </w:tr>
      <w:tr w:rsidR="00751AE1">
        <w:trPr>
          <w:trHeight w:val="530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r>
              <w:t>20-24</w:t>
            </w: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r>
              <w:t>Draw the cracking pattern due to torsional shear stress for a rectangular section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jc w:val="both"/>
            </w:pPr>
            <w:r>
              <w:rPr>
                <w:color w:val="000000"/>
              </w:rPr>
              <w:t>Torsion: Analysis for torsion and critical section; Detailing of torsional reinforcement.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6, R2</w:t>
            </w:r>
          </w:p>
          <w:p w:rsidR="00751AE1" w:rsidRDefault="00BE0E9A">
            <w:pPr>
              <w:jc w:val="center"/>
            </w:pPr>
            <w:r>
              <w:t>8, R3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(a), (k), (e)</w:t>
            </w:r>
          </w:p>
        </w:tc>
      </w:tr>
      <w:tr w:rsidR="00751AE1">
        <w:trPr>
          <w:trHeight w:val="530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spacing w:after="120"/>
              <w:jc w:val="center"/>
            </w:pPr>
            <w:r>
              <w:t>25-26</w:t>
            </w:r>
          </w:p>
          <w:p w:rsidR="00751AE1" w:rsidRDefault="00751AE1">
            <w:pPr>
              <w:spacing w:after="120"/>
              <w:jc w:val="center"/>
            </w:pP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r>
              <w:t>Calculate short term and long term deflections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spacing w:after="120"/>
              <w:jc w:val="both"/>
            </w:pPr>
            <w:r>
              <w:rPr>
                <w:color w:val="000000"/>
              </w:rPr>
              <w:t>Serviceability: Short term and long term properties; Deflection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8, R2</w:t>
            </w:r>
          </w:p>
          <w:p w:rsidR="00751AE1" w:rsidRDefault="00BE0E9A">
            <w:pPr>
              <w:spacing w:after="120"/>
              <w:jc w:val="center"/>
            </w:pPr>
            <w:r>
              <w:t>9, R3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(e), (a)</w:t>
            </w:r>
          </w:p>
        </w:tc>
      </w:tr>
      <w:tr w:rsidR="00751AE1">
        <w:trPr>
          <w:trHeight w:val="539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spacing w:after="120"/>
              <w:jc w:val="center"/>
            </w:pPr>
            <w:r>
              <w:t>27-29</w:t>
            </w: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r>
              <w:t>Draw provision of development length in RCC beam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jc w:val="both"/>
            </w:pPr>
            <w:r>
              <w:rPr>
                <w:color w:val="000000"/>
              </w:rPr>
              <w:t>Bond and Anchorage: Design bond stress; development length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7, R2</w:t>
            </w:r>
          </w:p>
          <w:p w:rsidR="00751AE1" w:rsidRDefault="00BE0E9A">
            <w:pPr>
              <w:spacing w:after="120"/>
              <w:jc w:val="center"/>
            </w:pPr>
            <w:r>
              <w:t>8, R3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(a), (k)</w:t>
            </w:r>
          </w:p>
        </w:tc>
      </w:tr>
      <w:tr w:rsidR="00751AE1">
        <w:trPr>
          <w:trHeight w:val="530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spacing w:after="120"/>
              <w:jc w:val="center"/>
            </w:pPr>
            <w:r>
              <w:t>30-33</w:t>
            </w:r>
          </w:p>
        </w:tc>
        <w:tc>
          <w:tcPr>
            <w:tcW w:w="2662" w:type="dxa"/>
            <w:vAlign w:val="center"/>
          </w:tcPr>
          <w:p w:rsidR="00751AE1" w:rsidRDefault="00BE0E9A">
            <w:r>
              <w:t>Classify columns based on reinforcement, loading and slenderness ratio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jc w:val="both"/>
            </w:pPr>
            <w:r>
              <w:rPr>
                <w:color w:val="000000"/>
              </w:rPr>
              <w:t xml:space="preserve">Columns: Failure mode; Design for longitudinal and </w:t>
            </w:r>
            <w:proofErr w:type="spellStart"/>
            <w:r>
              <w:rPr>
                <w:color w:val="000000"/>
              </w:rPr>
              <w:t>tranverse</w:t>
            </w:r>
            <w:proofErr w:type="spellEnd"/>
            <w:r>
              <w:rPr>
                <w:color w:val="000000"/>
              </w:rPr>
              <w:t xml:space="preserve"> reinforcement; Axially, </w:t>
            </w:r>
            <w:proofErr w:type="spellStart"/>
            <w:r>
              <w:rPr>
                <w:color w:val="000000"/>
              </w:rPr>
              <w:t>uniaxially</w:t>
            </w:r>
            <w:proofErr w:type="spellEnd"/>
            <w:r>
              <w:rPr>
                <w:color w:val="000000"/>
              </w:rPr>
              <w:t xml:space="preserve"> and </w:t>
            </w:r>
            <w:proofErr w:type="spellStart"/>
            <w:r>
              <w:rPr>
                <w:color w:val="000000"/>
              </w:rPr>
              <w:t>biaxially</w:t>
            </w:r>
            <w:proofErr w:type="spellEnd"/>
            <w:r>
              <w:rPr>
                <w:color w:val="000000"/>
              </w:rPr>
              <w:t xml:space="preserve"> loaded columns; Design of slender column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11, R2</w:t>
            </w:r>
          </w:p>
          <w:p w:rsidR="00751AE1" w:rsidRDefault="00BE0E9A">
            <w:pPr>
              <w:spacing w:after="120"/>
              <w:jc w:val="center"/>
            </w:pPr>
            <w:r>
              <w:t>12, R</w:t>
            </w:r>
            <w:r>
              <w:t>3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(a), (e)</w:t>
            </w:r>
          </w:p>
        </w:tc>
      </w:tr>
      <w:tr w:rsidR="00751AE1">
        <w:trPr>
          <w:trHeight w:val="620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r>
              <w:lastRenderedPageBreak/>
              <w:t xml:space="preserve"> 34</w:t>
            </w:r>
          </w:p>
          <w:p w:rsidR="00751AE1" w:rsidRDefault="00751AE1">
            <w:pPr>
              <w:jc w:val="center"/>
            </w:pP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r>
              <w:t>List salient specifications for joints</w:t>
            </w:r>
          </w:p>
          <w:p w:rsidR="00751AE1" w:rsidRDefault="00BE0E9A">
            <w:pPr>
              <w:jc w:val="both"/>
            </w:pPr>
            <w:r>
              <w:t>Summarize the imperative consideration for composite</w:t>
            </w:r>
          </w:p>
        </w:tc>
        <w:tc>
          <w:tcPr>
            <w:tcW w:w="4008" w:type="dxa"/>
            <w:vAlign w:val="center"/>
          </w:tcPr>
          <w:p w:rsidR="00751AE1" w:rsidRDefault="00BE0E9A">
            <w:r>
              <w:rPr>
                <w:color w:val="000000"/>
              </w:rPr>
              <w:t>Design specifications for Joints and composite Construction in RCC; Indeterminate Beams and Frames</w:t>
            </w:r>
          </w:p>
          <w:p w:rsidR="00751AE1" w:rsidRDefault="00751AE1">
            <w:pPr>
              <w:jc w:val="both"/>
              <w:rPr>
                <w:color w:val="000000"/>
              </w:rPr>
            </w:pP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20, T1</w:t>
            </w:r>
          </w:p>
          <w:p w:rsidR="00751AE1" w:rsidRDefault="00BE0E9A">
            <w:pPr>
              <w:jc w:val="center"/>
            </w:pPr>
            <w:r>
              <w:t>19, R1</w:t>
            </w:r>
          </w:p>
          <w:p w:rsidR="00751AE1" w:rsidRDefault="00BE0E9A">
            <w:pPr>
              <w:jc w:val="center"/>
            </w:pPr>
            <w:r>
              <w:t>6, R4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(a), (c)</w:t>
            </w:r>
          </w:p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(c), (j)</w:t>
            </w:r>
          </w:p>
        </w:tc>
      </w:tr>
      <w:tr w:rsidR="00751AE1">
        <w:trPr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r>
              <w:t>35</w:t>
            </w:r>
          </w:p>
        </w:tc>
        <w:tc>
          <w:tcPr>
            <w:tcW w:w="2662" w:type="dxa"/>
            <w:vAlign w:val="center"/>
          </w:tcPr>
          <w:p w:rsidR="00751AE1" w:rsidRDefault="00BE0E9A">
            <w:pPr>
              <w:jc w:val="both"/>
            </w:pPr>
            <w:r>
              <w:t>Describe assumptions and rule for yield lines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jc w:val="both"/>
            </w:pPr>
            <w:r>
              <w:rPr>
                <w:color w:val="000000"/>
              </w:rPr>
              <w:t>Yield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Line Analysis; Analysis of slab design using </w:t>
            </w:r>
            <w:proofErr w:type="spellStart"/>
            <w:r>
              <w:rPr>
                <w:color w:val="000000"/>
              </w:rPr>
              <w:t>yoeld</w:t>
            </w:r>
            <w:proofErr w:type="spellEnd"/>
            <w:r>
              <w:rPr>
                <w:color w:val="000000"/>
              </w:rPr>
              <w:t xml:space="preserve"> line theory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23, T1</w:t>
            </w:r>
          </w:p>
          <w:p w:rsidR="00751AE1" w:rsidRDefault="00BE0E9A">
            <w:pPr>
              <w:jc w:val="center"/>
            </w:pPr>
            <w:r>
              <w:t>4, R4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(a), (b)</w:t>
            </w:r>
          </w:p>
        </w:tc>
      </w:tr>
      <w:tr w:rsidR="00751AE1">
        <w:trPr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r>
              <w:t>36-38</w:t>
            </w:r>
          </w:p>
        </w:tc>
        <w:tc>
          <w:tcPr>
            <w:tcW w:w="2662" w:type="dxa"/>
            <w:vAlign w:val="center"/>
          </w:tcPr>
          <w:p w:rsidR="00751AE1" w:rsidRDefault="00BE0E9A">
            <w:r>
              <w:t>List the types of foundation</w:t>
            </w:r>
          </w:p>
          <w:p w:rsidR="00751AE1" w:rsidRDefault="00BE0E9A">
            <w:r>
              <w:t>Specify important design specifications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Footing and Foundations: Design consideration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13, R3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(c)</w:t>
            </w:r>
          </w:p>
        </w:tc>
      </w:tr>
      <w:tr w:rsidR="00751AE1">
        <w:trPr>
          <w:trHeight w:val="1068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r>
              <w:t>39-40</w:t>
            </w:r>
          </w:p>
        </w:tc>
        <w:tc>
          <w:tcPr>
            <w:tcW w:w="2662" w:type="dxa"/>
            <w:vAlign w:val="center"/>
          </w:tcPr>
          <w:p w:rsidR="00751AE1" w:rsidRDefault="00BE0E9A">
            <w:r>
              <w:t xml:space="preserve">List  desirable consideration for good detailing practices </w:t>
            </w:r>
          </w:p>
        </w:tc>
        <w:tc>
          <w:tcPr>
            <w:tcW w:w="4008" w:type="dxa"/>
            <w:vAlign w:val="center"/>
          </w:tcPr>
          <w:p w:rsidR="00751AE1" w:rsidRDefault="00BE0E9A">
            <w:p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Concrete Building System; </w:t>
            </w:r>
          </w:p>
          <w:p w:rsidR="00751AE1" w:rsidRDefault="00751AE1">
            <w:pPr>
              <w:spacing w:after="120"/>
              <w:jc w:val="both"/>
              <w:rPr>
                <w:color w:val="000000"/>
              </w:rPr>
            </w:pPr>
          </w:p>
          <w:p w:rsidR="00751AE1" w:rsidRDefault="00BE0E9A">
            <w:p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Concrete Tall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Buildings; Detailing in Concrete Structures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</w:pPr>
            <w:r>
              <w:t>2, R1</w:t>
            </w:r>
          </w:p>
          <w:p w:rsidR="00751AE1" w:rsidRDefault="00BE0E9A">
            <w:pPr>
              <w:jc w:val="center"/>
            </w:pPr>
            <w:r>
              <w:t>20, R1</w:t>
            </w:r>
          </w:p>
          <w:p w:rsidR="00751AE1" w:rsidRDefault="00BE0E9A">
            <w:pPr>
              <w:jc w:val="center"/>
            </w:pPr>
            <w:r>
              <w:t>15, R5</w:t>
            </w:r>
          </w:p>
        </w:tc>
        <w:tc>
          <w:tcPr>
            <w:tcW w:w="1419" w:type="dxa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(d), (j)</w:t>
            </w:r>
          </w:p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(j)</w:t>
            </w:r>
          </w:p>
        </w:tc>
      </w:tr>
      <w:tr w:rsidR="00751AE1">
        <w:trPr>
          <w:trHeight w:val="593"/>
          <w:jc w:val="center"/>
        </w:trPr>
        <w:tc>
          <w:tcPr>
            <w:tcW w:w="1113" w:type="dxa"/>
            <w:vAlign w:val="center"/>
          </w:tcPr>
          <w:p w:rsidR="00751AE1" w:rsidRDefault="00BE0E9A">
            <w:pPr>
              <w:jc w:val="center"/>
            </w:pPr>
            <w:bookmarkStart w:id="1" w:name="_heading=h.30j0zll" w:colFirst="0" w:colLast="0"/>
            <w:bookmarkEnd w:id="1"/>
            <w:r>
              <w:t>Total: 40</w:t>
            </w:r>
          </w:p>
        </w:tc>
        <w:tc>
          <w:tcPr>
            <w:tcW w:w="2662" w:type="dxa"/>
            <w:vAlign w:val="center"/>
          </w:tcPr>
          <w:p w:rsidR="00751AE1" w:rsidRDefault="00751AE1">
            <w:pPr>
              <w:jc w:val="both"/>
            </w:pPr>
          </w:p>
        </w:tc>
        <w:tc>
          <w:tcPr>
            <w:tcW w:w="4008" w:type="dxa"/>
            <w:vAlign w:val="center"/>
          </w:tcPr>
          <w:p w:rsidR="00751AE1" w:rsidRDefault="00751AE1">
            <w:pPr>
              <w:jc w:val="both"/>
            </w:pPr>
          </w:p>
        </w:tc>
        <w:tc>
          <w:tcPr>
            <w:tcW w:w="1419" w:type="dxa"/>
            <w:vAlign w:val="center"/>
          </w:tcPr>
          <w:p w:rsidR="00751AE1" w:rsidRDefault="00751AE1">
            <w:pPr>
              <w:jc w:val="center"/>
            </w:pPr>
          </w:p>
        </w:tc>
        <w:tc>
          <w:tcPr>
            <w:tcW w:w="1419" w:type="dxa"/>
            <w:vAlign w:val="center"/>
          </w:tcPr>
          <w:p w:rsidR="00751AE1" w:rsidRDefault="00751AE1">
            <w:pPr>
              <w:jc w:val="center"/>
            </w:pPr>
          </w:p>
        </w:tc>
      </w:tr>
    </w:tbl>
    <w:p w:rsidR="00751AE1" w:rsidRDefault="00751AE1">
      <w:pPr>
        <w:jc w:val="both"/>
      </w:pPr>
    </w:p>
    <w:p w:rsidR="00751AE1" w:rsidRDefault="00BE0E9A">
      <w:pPr>
        <w:spacing w:before="6" w:line="276" w:lineRule="auto"/>
        <w:rPr>
          <w:b/>
        </w:rPr>
      </w:pPr>
      <w:r>
        <w:rPr>
          <w:b/>
        </w:rPr>
        <w:t>*Student Learning Outcomes (SLOs):</w:t>
      </w:r>
    </w:p>
    <w:p w:rsidR="00751AE1" w:rsidRDefault="00BE0E9A">
      <w:pPr>
        <w:spacing w:line="276" w:lineRule="auto"/>
      </w:pPr>
      <w:r>
        <w:t>SLOs are outcomes (a) through (k) plus any additional outcomes that may be articulated by the program.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apply knowledge of mathematics, science and engineering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design and conduct experiments, as well as to analyze and interpret data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design a system, component, or process to meet desired needs within realistic constraints such as economic, environmental, social, political, ethical, heal</w:t>
      </w:r>
      <w:r>
        <w:t>th and safety, manufacturability, and sustainability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function on multidisciplinary teams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identify, formulate, and solve engineering problems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understanding of professional and ethical responsibility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an ability to communicate e</w:t>
      </w:r>
      <w:r>
        <w:t xml:space="preserve">ffectively 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the broad education necessary to understand the impact of engineering solutions in a global, economic, environmental, and societal context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 recognition of the need for, and an ability to engage in life-long learning</w:t>
      </w:r>
    </w:p>
    <w:p w:rsidR="00751AE1" w:rsidRDefault="00BE0E9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 knowledge of contemporary</w:t>
      </w:r>
      <w:r>
        <w:t xml:space="preserve"> issues</w:t>
      </w:r>
    </w:p>
    <w:p w:rsidR="00751AE1" w:rsidRDefault="00BE0E9A">
      <w:pPr>
        <w:ind w:left="360"/>
        <w:jc w:val="both"/>
      </w:pPr>
      <w:r>
        <w:t xml:space="preserve">(k) an ability to use the techniques, skills, and modern engineering tools necessary for engineering practice. </w:t>
      </w:r>
    </w:p>
    <w:p w:rsidR="00751AE1" w:rsidRDefault="00751AE1">
      <w:pPr>
        <w:ind w:firstLine="720"/>
        <w:jc w:val="both"/>
        <w:rPr>
          <w:b/>
        </w:rPr>
      </w:pPr>
    </w:p>
    <w:p w:rsidR="00751AE1" w:rsidRDefault="00751AE1">
      <w:pPr>
        <w:ind w:firstLine="720"/>
        <w:jc w:val="both"/>
        <w:rPr>
          <w:b/>
        </w:rPr>
      </w:pPr>
    </w:p>
    <w:p w:rsidR="00751AE1" w:rsidRDefault="00BE0E9A">
      <w:pPr>
        <w:spacing w:after="240"/>
        <w:jc w:val="both"/>
        <w:rPr>
          <w:b/>
        </w:rPr>
      </w:pPr>
      <w:r>
        <w:rPr>
          <w:b/>
        </w:rPr>
        <w:t>Evaluation Scheme:</w:t>
      </w:r>
    </w:p>
    <w:tbl>
      <w:tblPr>
        <w:tblStyle w:val="a0"/>
        <w:tblW w:w="8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7"/>
        <w:gridCol w:w="1289"/>
        <w:gridCol w:w="1412"/>
        <w:gridCol w:w="1800"/>
        <w:gridCol w:w="1803"/>
      </w:tblGrid>
      <w:tr w:rsidR="00751AE1">
        <w:trPr>
          <w:trHeight w:val="422"/>
          <w:jc w:val="center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751AE1">
        <w:trPr>
          <w:trHeight w:val="375"/>
          <w:jc w:val="center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Mid Semester Test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90 min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EC7E49">
            <w:pPr>
              <w:jc w:val="center"/>
            </w:pPr>
            <w:r>
              <w:t>As per Timetable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 xml:space="preserve">Closed Book </w:t>
            </w:r>
          </w:p>
        </w:tc>
      </w:tr>
      <w:tr w:rsidR="00751AE1">
        <w:trPr>
          <w:trHeight w:val="629"/>
          <w:jc w:val="center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Term project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751AE1">
            <w:pPr>
              <w:jc w:val="center"/>
            </w:pPr>
          </w:p>
          <w:p w:rsidR="00751AE1" w:rsidRDefault="00BE0E9A">
            <w:pPr>
              <w:jc w:val="center"/>
            </w:pPr>
            <w:r>
              <w:t>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Continuous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Open Book</w:t>
            </w:r>
          </w:p>
        </w:tc>
      </w:tr>
      <w:tr w:rsidR="00751AE1">
        <w:trPr>
          <w:trHeight w:val="512"/>
          <w:jc w:val="center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Take Home Assignments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-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Continuous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Open Book</w:t>
            </w:r>
          </w:p>
        </w:tc>
      </w:tr>
      <w:tr w:rsidR="00751AE1">
        <w:trPr>
          <w:trHeight w:val="375"/>
          <w:jc w:val="center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751AE1" w:rsidRDefault="00BE0E9A">
            <w:pPr>
              <w:jc w:val="center"/>
              <w:rPr>
                <w:b/>
              </w:rPr>
            </w:pPr>
            <w:r>
              <w:rPr>
                <w:b/>
              </w:rPr>
              <w:t>Comprehensive Exam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120 min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EC7E49">
            <w:pPr>
              <w:jc w:val="center"/>
            </w:pPr>
            <w:r>
              <w:t>As per Timetable</w:t>
            </w:r>
            <w:bookmarkStart w:id="2" w:name="_GoBack"/>
            <w:bookmarkEnd w:id="2"/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1AE1" w:rsidRDefault="00BE0E9A">
            <w:pPr>
              <w:jc w:val="center"/>
            </w:pPr>
            <w:r>
              <w:t>Closed book</w:t>
            </w:r>
          </w:p>
        </w:tc>
      </w:tr>
    </w:tbl>
    <w:p w:rsidR="00751AE1" w:rsidRDefault="00751AE1">
      <w:pPr>
        <w:jc w:val="both"/>
        <w:rPr>
          <w:b/>
        </w:rPr>
      </w:pPr>
    </w:p>
    <w:p w:rsidR="00751AE1" w:rsidRDefault="00BE0E9A">
      <w:pPr>
        <w:jc w:val="both"/>
      </w:pPr>
      <w:r>
        <w:rPr>
          <w:b/>
        </w:rPr>
        <w:t>Chamber Consultation Hour:</w:t>
      </w:r>
      <w:r>
        <w:t xml:space="preserve"> Wednesday 3:00 -4:00 pm</w:t>
      </w:r>
    </w:p>
    <w:p w:rsidR="00751AE1" w:rsidRDefault="00751AE1">
      <w:pPr>
        <w:jc w:val="both"/>
      </w:pPr>
    </w:p>
    <w:p w:rsidR="00751AE1" w:rsidRDefault="00BE0E9A">
      <w:pPr>
        <w:jc w:val="both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Academic Honesty and Integrity Policy</w:t>
      </w:r>
      <w:r>
        <w:rPr>
          <w:sz w:val="22"/>
          <w:szCs w:val="22"/>
          <w:highlight w:val="white"/>
        </w:rPr>
        <w:t xml:space="preserve">: </w:t>
      </w:r>
      <w:r>
        <w:rPr>
          <w:highlight w:val="white"/>
        </w:rPr>
        <w:t>Academic honesty and integrity are to be maintained by all the students throughout the semester and no type of academic dishonesty is acceptable.</w:t>
      </w:r>
    </w:p>
    <w:p w:rsidR="00751AE1" w:rsidRDefault="00751AE1">
      <w:pPr>
        <w:jc w:val="both"/>
        <w:rPr>
          <w:sz w:val="32"/>
          <w:szCs w:val="32"/>
        </w:rPr>
      </w:pPr>
    </w:p>
    <w:p w:rsidR="00751AE1" w:rsidRDefault="00BE0E9A">
      <w:pPr>
        <w:jc w:val="both"/>
      </w:pPr>
      <w:r>
        <w:rPr>
          <w:b/>
        </w:rPr>
        <w:t>Notices:</w:t>
      </w:r>
      <w:r>
        <w:t xml:space="preserve"> Notices will be displayed on the Notice Board of the Civil Engineering Department and Google class r</w:t>
      </w:r>
      <w:r>
        <w:t>oom of the course.</w:t>
      </w:r>
    </w:p>
    <w:p w:rsidR="00751AE1" w:rsidRDefault="00751AE1">
      <w:pPr>
        <w:jc w:val="both"/>
      </w:pPr>
    </w:p>
    <w:p w:rsidR="00751AE1" w:rsidRDefault="00BE0E9A">
      <w:pPr>
        <w:jc w:val="both"/>
        <w:rPr>
          <w:b/>
        </w:rPr>
      </w:pPr>
      <w:r>
        <w:rPr>
          <w:b/>
        </w:rPr>
        <w:t>Make-up Policy:</w:t>
      </w:r>
    </w:p>
    <w:p w:rsidR="00751AE1" w:rsidRDefault="00BE0E9A">
      <w:pPr>
        <w:numPr>
          <w:ilvl w:val="0"/>
          <w:numId w:val="1"/>
        </w:numPr>
        <w:jc w:val="both"/>
      </w:pPr>
      <w:r>
        <w:t xml:space="preserve">Prior permission is mandatory in genuine cases. Applications (preferably email/hardcopy) received 24 hours after (in case of medical emergencies) the test will not be entertained. Applications on informal forums will be </w:t>
      </w:r>
      <w:r>
        <w:t>ignored.</w:t>
      </w:r>
    </w:p>
    <w:p w:rsidR="00751AE1" w:rsidRDefault="00BE0E9A">
      <w:pPr>
        <w:numPr>
          <w:ilvl w:val="0"/>
          <w:numId w:val="1"/>
        </w:numPr>
        <w:jc w:val="both"/>
      </w:pPr>
      <w:r>
        <w:t xml:space="preserve">Medical emergencies have to be supported by valid certificates to satisfaction </w:t>
      </w:r>
      <w:proofErr w:type="gramStart"/>
      <w:r>
        <w:t>of  I</w:t>
      </w:r>
      <w:proofErr w:type="gramEnd"/>
      <w:r>
        <w:t>/C.</w:t>
      </w:r>
    </w:p>
    <w:p w:rsidR="00751AE1" w:rsidRDefault="00751AE1">
      <w:pPr>
        <w:jc w:val="right"/>
        <w:rPr>
          <w:b/>
        </w:rPr>
      </w:pPr>
    </w:p>
    <w:p w:rsidR="00751AE1" w:rsidRDefault="00BE0E9A">
      <w:pPr>
        <w:jc w:val="right"/>
        <w:rPr>
          <w:b/>
        </w:rPr>
      </w:pPr>
      <w:r>
        <w:rPr>
          <w:b/>
        </w:rPr>
        <w:t>INSTRUCTOR-IN-CHARGE</w:t>
      </w:r>
    </w:p>
    <w:p w:rsidR="00751AE1" w:rsidRDefault="00BE0E9A">
      <w:pPr>
        <w:jc w:val="right"/>
        <w:rPr>
          <w:b/>
        </w:rPr>
      </w:pPr>
      <w:r>
        <w:rPr>
          <w:b/>
        </w:rPr>
        <w:t>CE G613</w:t>
      </w:r>
    </w:p>
    <w:sectPr w:rsidR="00751AE1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E9A" w:rsidRDefault="00BE0E9A">
      <w:r>
        <w:separator/>
      </w:r>
    </w:p>
  </w:endnote>
  <w:endnote w:type="continuationSeparator" w:id="0">
    <w:p w:rsidR="00BE0E9A" w:rsidRDefault="00BE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AE1" w:rsidRDefault="00BE0E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1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E9A" w:rsidRDefault="00BE0E9A">
      <w:r>
        <w:separator/>
      </w:r>
    </w:p>
  </w:footnote>
  <w:footnote w:type="continuationSeparator" w:id="0">
    <w:p w:rsidR="00BE0E9A" w:rsidRDefault="00BE0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AE1" w:rsidRDefault="00751AE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744CA"/>
    <w:multiLevelType w:val="multilevel"/>
    <w:tmpl w:val="71A06B7E"/>
    <w:lvl w:ilvl="0">
      <w:start w:val="1"/>
      <w:numFmt w:val="decimal"/>
      <w:lvlText w:val="%1."/>
      <w:lvlJc w:val="left"/>
      <w:pPr>
        <w:ind w:left="960" w:hanging="360"/>
      </w:pPr>
      <w:rPr>
        <w:b/>
        <w:sz w:val="22"/>
        <w:szCs w:val="22"/>
      </w:rPr>
    </w:lvl>
    <w:lvl w:ilvl="1">
      <w:start w:val="1"/>
      <w:numFmt w:val="bullet"/>
      <w:lvlText w:val="•"/>
      <w:lvlJc w:val="left"/>
      <w:pPr>
        <w:ind w:left="1940" w:hanging="360"/>
      </w:pPr>
    </w:lvl>
    <w:lvl w:ilvl="2">
      <w:start w:val="1"/>
      <w:numFmt w:val="bullet"/>
      <w:lvlText w:val="•"/>
      <w:lvlJc w:val="left"/>
      <w:pPr>
        <w:ind w:left="2921" w:hanging="360"/>
      </w:pPr>
    </w:lvl>
    <w:lvl w:ilvl="3">
      <w:start w:val="1"/>
      <w:numFmt w:val="bullet"/>
      <w:lvlText w:val="•"/>
      <w:lvlJc w:val="left"/>
      <w:pPr>
        <w:ind w:left="3901" w:hanging="360"/>
      </w:pPr>
    </w:lvl>
    <w:lvl w:ilvl="4">
      <w:start w:val="1"/>
      <w:numFmt w:val="bullet"/>
      <w:lvlText w:val="•"/>
      <w:lvlJc w:val="left"/>
      <w:pPr>
        <w:ind w:left="4882" w:hanging="360"/>
      </w:pPr>
    </w:lvl>
    <w:lvl w:ilvl="5">
      <w:start w:val="1"/>
      <w:numFmt w:val="bullet"/>
      <w:lvlText w:val="•"/>
      <w:lvlJc w:val="left"/>
      <w:pPr>
        <w:ind w:left="5863" w:hanging="360"/>
      </w:pPr>
    </w:lvl>
    <w:lvl w:ilvl="6">
      <w:start w:val="1"/>
      <w:numFmt w:val="bullet"/>
      <w:lvlText w:val="•"/>
      <w:lvlJc w:val="left"/>
      <w:pPr>
        <w:ind w:left="6843" w:hanging="360"/>
      </w:pPr>
    </w:lvl>
    <w:lvl w:ilvl="7">
      <w:start w:val="1"/>
      <w:numFmt w:val="bullet"/>
      <w:lvlText w:val="•"/>
      <w:lvlJc w:val="left"/>
      <w:pPr>
        <w:ind w:left="7824" w:hanging="360"/>
      </w:pPr>
    </w:lvl>
    <w:lvl w:ilvl="8">
      <w:start w:val="1"/>
      <w:numFmt w:val="bullet"/>
      <w:lvlText w:val="•"/>
      <w:lvlJc w:val="left"/>
      <w:pPr>
        <w:ind w:left="8805" w:hanging="360"/>
      </w:pPr>
    </w:lvl>
  </w:abstractNum>
  <w:abstractNum w:abstractNumId="1" w15:restartNumberingAfterBreak="0">
    <w:nsid w:val="1CAB732B"/>
    <w:multiLevelType w:val="multilevel"/>
    <w:tmpl w:val="0FB86A9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98D"/>
    <w:multiLevelType w:val="multilevel"/>
    <w:tmpl w:val="DC2AE12E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AE1"/>
    <w:rsid w:val="00751AE1"/>
    <w:rsid w:val="00A464C1"/>
    <w:rsid w:val="00BE0E9A"/>
    <w:rsid w:val="00E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8FDB"/>
  <w15:docId w15:val="{06404217-4508-46F8-9B4E-8956EDE0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52A"/>
    <w:rPr>
      <w:lang w:eastAsia="en-US"/>
    </w:rPr>
  </w:style>
  <w:style w:type="paragraph" w:styleId="Heading1">
    <w:name w:val="heading 1"/>
    <w:basedOn w:val="Normal"/>
    <w:next w:val="Normal"/>
    <w:qFormat/>
    <w:rsid w:val="00C7052A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C7052A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C7052A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3172A"/>
    <w:pPr>
      <w:jc w:val="center"/>
    </w:pPr>
    <w:rPr>
      <w:rFonts w:ascii="Arial" w:hAnsi="Arial" w:cs="Arial"/>
      <w:b/>
      <w:bCs/>
      <w:sz w:val="20"/>
      <w:lang w:val="en-AU"/>
    </w:rPr>
  </w:style>
  <w:style w:type="paragraph" w:styleId="BodyText">
    <w:name w:val="Body Text"/>
    <w:basedOn w:val="Normal"/>
    <w:semiHidden/>
    <w:rsid w:val="00C7052A"/>
    <w:pPr>
      <w:jc w:val="both"/>
    </w:pPr>
  </w:style>
  <w:style w:type="paragraph" w:styleId="BodyTextIndent">
    <w:name w:val="Body Text Indent"/>
    <w:basedOn w:val="Normal"/>
    <w:semiHidden/>
    <w:rsid w:val="00C7052A"/>
    <w:pPr>
      <w:ind w:left="900" w:hanging="540"/>
      <w:jc w:val="both"/>
    </w:pPr>
  </w:style>
  <w:style w:type="paragraph" w:styleId="BodyText2">
    <w:name w:val="Body Text 2"/>
    <w:basedOn w:val="Normal"/>
    <w:semiHidden/>
    <w:rsid w:val="00C7052A"/>
    <w:pPr>
      <w:jc w:val="both"/>
    </w:pPr>
    <w:rPr>
      <w:sz w:val="20"/>
    </w:rPr>
  </w:style>
  <w:style w:type="paragraph" w:styleId="BodyTextIndent2">
    <w:name w:val="Body Text Indent 2"/>
    <w:basedOn w:val="Normal"/>
    <w:semiHidden/>
    <w:rsid w:val="00C7052A"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TitleChar">
    <w:name w:val="Title Char"/>
    <w:link w:val="Title"/>
    <w:rsid w:val="0013172A"/>
    <w:rPr>
      <w:rFonts w:ascii="Arial" w:hAnsi="Arial" w:cs="Arial"/>
      <w:b/>
      <w:bCs/>
      <w:szCs w:val="24"/>
      <w:lang w:val="en-AU"/>
    </w:rPr>
  </w:style>
  <w:style w:type="paragraph" w:customStyle="1" w:styleId="Default">
    <w:name w:val="Default"/>
    <w:rsid w:val="00267E32"/>
    <w:pPr>
      <w:autoSpaceDE w:val="0"/>
      <w:autoSpaceDN w:val="0"/>
      <w:adjustRightInd w:val="0"/>
    </w:pPr>
    <w:rPr>
      <w:color w:val="000000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3D3B37"/>
  </w:style>
  <w:style w:type="paragraph" w:styleId="ListParagraph">
    <w:name w:val="List Paragraph"/>
    <w:basedOn w:val="Normal"/>
    <w:uiPriority w:val="34"/>
    <w:qFormat/>
    <w:rsid w:val="003D3B37"/>
    <w:pPr>
      <w:ind w:left="720"/>
      <w:contextualSpacing/>
    </w:pPr>
  </w:style>
  <w:style w:type="character" w:customStyle="1" w:styleId="fontstyle01">
    <w:name w:val="fontstyle01"/>
    <w:basedOn w:val="DefaultParagraphFont"/>
    <w:rsid w:val="008A3249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C957D4"/>
    <w:rPr>
      <w:rFonts w:ascii="Helvetica" w:hAnsi="Helvetica" w:hint="default"/>
      <w:b w:val="0"/>
      <w:bCs w:val="0"/>
      <w:i w:val="0"/>
      <w:iCs w:val="0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/NUoQN7swNaEpoSyI7hMVAIMRQ==">AMUW2mW+kbyxMsc9VIP1OkqJ8u1O/po6nH8l0XTDu2JGnWmlROQU1ODDJxXp6mUtoY6j4k2jG+cOC9UyxxjwBSQBAVwfmnQZZ1c1Jni06tEVfN4IqUMDKStr0TodUwZn3dkSkTTAHV3l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3</cp:revision>
  <dcterms:created xsi:type="dcterms:W3CDTF">2017-07-29T06:34:00Z</dcterms:created>
  <dcterms:modified xsi:type="dcterms:W3CDTF">2022-01-07T05:12:00Z</dcterms:modified>
</cp:coreProperties>
</file>