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A7" w:rsidRDefault="00940543">
      <w:pPr>
        <w:keepNext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IN"/>
        </w:rPr>
        <w:drawing>
          <wp:inline distT="0" distB="0" distL="0" distR="0">
            <wp:extent cx="4947436" cy="1023938"/>
            <wp:effectExtent l="0" t="0" r="0" b="0"/>
            <wp:docPr id="4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436" cy="10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3A7" w:rsidRDefault="00940543">
      <w:pPr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SECOND SEMESTER 2020-2021</w:t>
      </w:r>
    </w:p>
    <w:p w:rsidR="00FC53A7" w:rsidRDefault="00940543">
      <w:pPr>
        <w:jc w:val="center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Course Handout (Part II)</w:t>
      </w:r>
    </w:p>
    <w:p w:rsidR="00FC53A7" w:rsidRDefault="00940543">
      <w:pPr>
        <w:keepNext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Date:  15/01/2022</w:t>
      </w:r>
    </w:p>
    <w:p w:rsidR="00FC53A7" w:rsidRDefault="00FC53A7">
      <w:pPr>
        <w:keepNext/>
        <w:rPr>
          <w:rFonts w:ascii="Garamond" w:eastAsia="Garamond" w:hAnsi="Garamond" w:cs="Garamond"/>
          <w:sz w:val="24"/>
          <w:szCs w:val="24"/>
        </w:rPr>
      </w:pPr>
    </w:p>
    <w:p w:rsidR="00FC53A7" w:rsidRDefault="00940543">
      <w:pPr>
        <w:keepNext/>
        <w:spacing w:after="240"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FC53A7" w:rsidRDefault="00940543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Course No:</w:t>
      </w:r>
      <w:r>
        <w:rPr>
          <w:rFonts w:ascii="Garamond" w:eastAsia="Garamond" w:hAnsi="Garamond" w:cs="Garamond"/>
          <w:sz w:val="24"/>
          <w:szCs w:val="24"/>
        </w:rPr>
        <w:tab/>
        <w:t>CHE F242</w:t>
      </w:r>
    </w:p>
    <w:p w:rsidR="00FC53A7" w:rsidRDefault="00940543">
      <w:pPr>
        <w:spacing w:line="36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Course Title: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Numerical Methods for Chemical Engineers</w:t>
      </w:r>
    </w:p>
    <w:p w:rsidR="00FC53A7" w:rsidRDefault="00940543">
      <w:pPr>
        <w:spacing w:after="240" w:line="36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Instructor-in-charge: Dr. Arnab Dutta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Objective &amp; Motivation:</w:t>
      </w:r>
    </w:p>
    <w:p w:rsidR="00FC53A7" w:rsidRDefault="00940543">
      <w:pPr>
        <w:spacing w:after="24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The knowledge of numerical methods is essential to tackle real-life problems, which may not be possible to solve analytically. Numerical me</w:t>
      </w:r>
      <w:r>
        <w:rPr>
          <w:rFonts w:ascii="Garamond" w:eastAsia="Garamond" w:hAnsi="Garamond" w:cs="Garamond"/>
          <w:sz w:val="24"/>
          <w:szCs w:val="24"/>
        </w:rPr>
        <w:t xml:space="preserve">thods have always been a powerful tool to solve various complex physio-chemical phenomena spanning different domain. It is not only important to understand these algorithms but one also has to implement it with the help of computer codes. The amalgamation </w:t>
      </w:r>
      <w:r>
        <w:rPr>
          <w:rFonts w:ascii="Garamond" w:eastAsia="Garamond" w:hAnsi="Garamond" w:cs="Garamond"/>
          <w:sz w:val="24"/>
          <w:szCs w:val="24"/>
        </w:rPr>
        <w:t>of these algorithms along with computer codes is necessary to get a complete flavor of this subject. In this course, you will be exposed to a variety of algorithms for solving algebraic and differential equations both from theoretical as well as computatio</w:t>
      </w:r>
      <w:r>
        <w:rPr>
          <w:rFonts w:ascii="Garamond" w:eastAsia="Garamond" w:hAnsi="Garamond" w:cs="Garamond"/>
          <w:sz w:val="24"/>
          <w:szCs w:val="24"/>
        </w:rPr>
        <w:t>nal perspective using MATLAB.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Learning Outcomes:</w:t>
      </w:r>
    </w:p>
    <w:p w:rsidR="00FC53A7" w:rsidRDefault="009405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Numerical techniques to solve linear and non-linear algebraic equations</w:t>
      </w:r>
    </w:p>
    <w:p w:rsidR="00FC53A7" w:rsidRDefault="009405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Solve ordinary and partial differential equations using numerical methods</w:t>
      </w:r>
    </w:p>
    <w:p w:rsidR="00FC53A7" w:rsidRDefault="00940543">
      <w:pPr>
        <w:numPr>
          <w:ilvl w:val="0"/>
          <w:numId w:val="1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Numerical schemes to perform differentiation and integration</w:t>
      </w:r>
    </w:p>
    <w:p w:rsidR="00FC53A7" w:rsidRDefault="009405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Parameter estimation using regression techniques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Text Book:</w:t>
      </w:r>
    </w:p>
    <w:p w:rsidR="00FC53A7" w:rsidRDefault="00940543">
      <w:pPr>
        <w:spacing w:line="360" w:lineRule="auto"/>
        <w:ind w:left="65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Steven C. </w:t>
      </w:r>
      <w:proofErr w:type="spellStart"/>
      <w:r>
        <w:rPr>
          <w:rFonts w:ascii="Garamond" w:eastAsia="Garamond" w:hAnsi="Garamond" w:cs="Garamond"/>
          <w:sz w:val="24"/>
          <w:szCs w:val="24"/>
        </w:rPr>
        <w:t>Chapra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, Raymond P. </w:t>
      </w:r>
      <w:proofErr w:type="spellStart"/>
      <w:r>
        <w:rPr>
          <w:rFonts w:ascii="Garamond" w:eastAsia="Garamond" w:hAnsi="Garamond" w:cs="Garamond"/>
          <w:sz w:val="24"/>
          <w:szCs w:val="24"/>
        </w:rPr>
        <w:t>Canale</w:t>
      </w:r>
      <w:proofErr w:type="spellEnd"/>
      <w:r>
        <w:rPr>
          <w:rFonts w:ascii="Garamond" w:eastAsia="Garamond" w:hAnsi="Garamond" w:cs="Garamond"/>
          <w:sz w:val="24"/>
          <w:szCs w:val="24"/>
        </w:rPr>
        <w:t>, “Numerical Methods for Engineers”, Tata McGraw-Hill 6th Edition 2012.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Reference Books:</w:t>
      </w:r>
    </w:p>
    <w:p w:rsidR="00FC53A7" w:rsidRDefault="009405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S. K. Gupta, “Numerical Methods for Engineers”, New Age International Pu</w:t>
      </w:r>
      <w:r>
        <w:rPr>
          <w:rFonts w:ascii="Garamond" w:eastAsia="Garamond" w:hAnsi="Garamond" w:cs="Garamond"/>
          <w:color w:val="000000"/>
          <w:sz w:val="24"/>
          <w:szCs w:val="24"/>
        </w:rPr>
        <w:t>blishers 2</w:t>
      </w:r>
      <w:r>
        <w:rPr>
          <w:rFonts w:ascii="Garamond" w:eastAsia="Garamond" w:hAnsi="Garamond" w:cs="Garamond"/>
          <w:color w:val="000000"/>
          <w:sz w:val="24"/>
          <w:szCs w:val="24"/>
          <w:vertAlign w:val="superscript"/>
        </w:rPr>
        <w:t>nd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Edition 2010.</w:t>
      </w:r>
    </w:p>
    <w:p w:rsidR="00FC53A7" w:rsidRDefault="009405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Stefan J. Chapman “MATLAB Programming for Engineers”, 4th Edition. Cengage Learning.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Course Plan:</w:t>
      </w:r>
    </w:p>
    <w:tbl>
      <w:tblPr>
        <w:tblStyle w:val="a"/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1"/>
        <w:gridCol w:w="1559"/>
        <w:gridCol w:w="5245"/>
        <w:gridCol w:w="2126"/>
      </w:tblGrid>
      <w:tr w:rsidR="00FC53A7">
        <w:trPr>
          <w:trHeight w:val="377"/>
        </w:trPr>
        <w:tc>
          <w:tcPr>
            <w:tcW w:w="701" w:type="dxa"/>
            <w:shd w:val="clear" w:color="auto" w:fill="D9D9D9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Lec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. No.</w:t>
            </w:r>
          </w:p>
        </w:tc>
        <w:tc>
          <w:tcPr>
            <w:tcW w:w="1559" w:type="dxa"/>
            <w:shd w:val="clear" w:color="auto" w:fill="D9D9D9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Learning Objectives</w:t>
            </w:r>
          </w:p>
        </w:tc>
        <w:tc>
          <w:tcPr>
            <w:tcW w:w="5245" w:type="dxa"/>
            <w:shd w:val="clear" w:color="auto" w:fill="D9D9D9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Topics to be covered</w:t>
            </w:r>
          </w:p>
        </w:tc>
        <w:tc>
          <w:tcPr>
            <w:tcW w:w="2126" w:type="dxa"/>
            <w:shd w:val="clear" w:color="auto" w:fill="D9D9D9"/>
          </w:tcPr>
          <w:p w:rsidR="00FC53A7" w:rsidRDefault="00940543">
            <w:pPr>
              <w:ind w:hanging="108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  <w:r>
              <w:rPr>
                <w:rFonts w:ascii="Garamond" w:eastAsia="Garamond" w:hAnsi="Garamond" w:cs="Garamond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  <w:vertAlign w:val="superscript"/>
              </w:rPr>
              <w:t>*</w:t>
            </w:r>
          </w:p>
        </w:tc>
      </w:tr>
      <w:tr w:rsidR="00FC53A7">
        <w:trPr>
          <w:trHeight w:val="377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1-2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Introduction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Get to know the students</w:t>
            </w:r>
          </w:p>
          <w:p w:rsidR="00FC53A7" w:rsidRDefault="00940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Understand students’ notion about the subject</w:t>
            </w:r>
          </w:p>
          <w:p w:rsidR="00FC53A7" w:rsidRDefault="00940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Introduction to the course</w:t>
            </w:r>
          </w:p>
          <w:p w:rsidR="00FC53A7" w:rsidRDefault="00940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Necessity of mathematical models &amp; algorithms</w:t>
            </w:r>
          </w:p>
          <w:p w:rsidR="00FC53A7" w:rsidRDefault="0094054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 xml:space="preserve">Computational tools for problem solving 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ind w:hanging="108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--</w:t>
            </w:r>
          </w:p>
        </w:tc>
      </w:tr>
      <w:tr w:rsidR="00FC53A7">
        <w:trPr>
          <w:trHeight w:val="1286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2-3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Error analysis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Significant digits</w:t>
            </w:r>
          </w:p>
          <w:p w:rsidR="00FC53A7" w:rsidRDefault="009405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Accuracy &amp; precision</w:t>
            </w:r>
          </w:p>
          <w:p w:rsidR="00FC53A7" w:rsidRDefault="009405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Round off errors</w:t>
            </w:r>
          </w:p>
          <w:p w:rsidR="00FC53A7" w:rsidRDefault="009405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Truncation error</w:t>
            </w:r>
          </w:p>
          <w:p w:rsidR="00FC53A7" w:rsidRDefault="0094054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Error propagation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ind w:hanging="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Chapters: 3-4</w:t>
            </w:r>
          </w:p>
        </w:tc>
      </w:tr>
      <w:tr w:rsidR="00FC53A7">
        <w:trPr>
          <w:trHeight w:val="377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4-9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Roots of Equations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Bisection method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False-position method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Newton-Raphson’s method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Secant method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Roots of polynomials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Chapters: 5-7</w:t>
            </w:r>
          </w:p>
        </w:tc>
      </w:tr>
      <w:tr w:rsidR="00FC53A7">
        <w:trPr>
          <w:trHeight w:val="377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ind w:left="-108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10-14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Linear Algebraic Equations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Gauss elimination</w:t>
            </w:r>
          </w:p>
          <w:p w:rsidR="00FC53A7" w:rsidRDefault="00940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Gauss-Jordan</w:t>
            </w:r>
          </w:p>
          <w:p w:rsidR="00FC53A7" w:rsidRDefault="00940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LU decomposition</w:t>
            </w:r>
          </w:p>
          <w:p w:rsidR="00FC53A7" w:rsidRDefault="00940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Thomas algorithm</w:t>
            </w:r>
          </w:p>
          <w:p w:rsidR="00FC53A7" w:rsidRDefault="009405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Gauss-Seidel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ind w:hanging="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Chapters: 9-11</w:t>
            </w:r>
          </w:p>
        </w:tc>
      </w:tr>
      <w:tr w:rsidR="00FC53A7">
        <w:trPr>
          <w:trHeight w:val="719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15-19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Numerical Differentiation &amp; Integration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Differentiation technique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Trapezoidal rule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Simpson’s rule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Chapters: 21-23</w:t>
            </w:r>
          </w:p>
        </w:tc>
      </w:tr>
      <w:tr w:rsidR="00FC53A7">
        <w:trPr>
          <w:trHeight w:val="1593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20-28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ODE-IVPs</w:t>
            </w:r>
            <w:r>
              <w:rPr>
                <w:rFonts w:ascii="Garamond" w:eastAsia="Garamond" w:hAnsi="Garamond" w:cs="Garamond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Euler’s method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Adams-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Bashforth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 xml:space="preserve"> &amp; Adams-Moulton techniques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Runge-Kutta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 xml:space="preserve"> methods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Stiffness of ODEs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Predictor-Corrector techniques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Stability of algorithms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Chapters: 25-26</w:t>
            </w:r>
          </w:p>
        </w:tc>
      </w:tr>
      <w:tr w:rsidR="00FC53A7">
        <w:trPr>
          <w:trHeight w:val="496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29-32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ODE-BVPs</w:t>
            </w:r>
            <w:r>
              <w:rPr>
                <w:rFonts w:ascii="Garamond" w:eastAsia="Garamond" w:hAnsi="Garamond" w:cs="Garamond"/>
                <w:sz w:val="28"/>
                <w:szCs w:val="28"/>
                <w:vertAlign w:val="superscript"/>
              </w:rPr>
              <w:t>†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Finite difference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Shooting techniques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Chapters: 27, 31</w:t>
            </w:r>
          </w:p>
          <w:p w:rsidR="00FC53A7" w:rsidRDefault="00FC5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</w:p>
        </w:tc>
      </w:tr>
      <w:tr w:rsidR="00FC53A7">
        <w:trPr>
          <w:trHeight w:val="777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33-36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PDE</w:t>
            </w:r>
            <w:r>
              <w:rPr>
                <w:rFonts w:ascii="Matura MT Script Capitals" w:eastAsia="Matura MT Script Capitals" w:hAnsi="Matura MT Script Capitals" w:cs="Matura MT Script Capitals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  <w:vertAlign w:val="superscript"/>
              </w:rPr>
              <w:t>‡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Elliptic equations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Parabolic equations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 xml:space="preserve">Finite difference 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Chapters: 29-31</w:t>
            </w:r>
          </w:p>
        </w:tc>
      </w:tr>
      <w:tr w:rsidR="00FC53A7">
        <w:trPr>
          <w:trHeight w:val="719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37-39</w:t>
            </w:r>
          </w:p>
        </w:tc>
        <w:tc>
          <w:tcPr>
            <w:tcW w:w="1559" w:type="dxa"/>
            <w:shd w:val="clear" w:color="auto" w:fill="auto"/>
          </w:tcPr>
          <w:p w:rsidR="00FC53A7" w:rsidRDefault="00940543">
            <w:pPr>
              <w:ind w:left="-108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Curve Fitting</w:t>
            </w:r>
          </w:p>
        </w:tc>
        <w:tc>
          <w:tcPr>
            <w:tcW w:w="5245" w:type="dxa"/>
            <w:shd w:val="clear" w:color="auto" w:fill="auto"/>
          </w:tcPr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Linear regression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Newton’s divided difference interpolating polynomials</w:t>
            </w:r>
          </w:p>
          <w:p w:rsidR="00FC53A7" w:rsidRDefault="0094054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Lagrangian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 xml:space="preserve"> Interpolation</w:t>
            </w:r>
          </w:p>
        </w:tc>
        <w:tc>
          <w:tcPr>
            <w:tcW w:w="2126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Chapter: 17-18</w:t>
            </w:r>
          </w:p>
        </w:tc>
      </w:tr>
      <w:tr w:rsidR="00FC53A7">
        <w:trPr>
          <w:trHeight w:val="357"/>
        </w:trPr>
        <w:tc>
          <w:tcPr>
            <w:tcW w:w="701" w:type="dxa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30" w:type="dxa"/>
            <w:gridSpan w:val="3"/>
            <w:shd w:val="clear" w:color="auto" w:fill="auto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Course wrap-up</w:t>
            </w:r>
          </w:p>
        </w:tc>
      </w:tr>
    </w:tbl>
    <w:p w:rsidR="00FC53A7" w:rsidRDefault="00940543">
      <w:pPr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8"/>
          <w:szCs w:val="28"/>
          <w:vertAlign w:val="superscript"/>
        </w:rPr>
        <w:t>* Unless otherwise specified all chapters are taken from the prescribed textbook.</w:t>
      </w:r>
    </w:p>
    <w:p w:rsidR="00FC53A7" w:rsidRDefault="00940543">
      <w:pPr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8"/>
          <w:szCs w:val="28"/>
          <w:vertAlign w:val="superscript"/>
        </w:rPr>
        <w:t># Ordinary Differential Equations: Initial Value Problems</w:t>
      </w:r>
    </w:p>
    <w:p w:rsidR="00FC53A7" w:rsidRDefault="00940543">
      <w:pPr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8"/>
          <w:szCs w:val="28"/>
          <w:vertAlign w:val="superscript"/>
        </w:rPr>
        <w:t>† Ordinary Differential Equations: Boundary Value Problems</w:t>
      </w:r>
    </w:p>
    <w:p w:rsidR="00FC53A7" w:rsidRDefault="00940543">
      <w:pPr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8"/>
          <w:szCs w:val="28"/>
          <w:vertAlign w:val="superscript"/>
        </w:rPr>
        <w:t>‡ Partial Differential Equations</w:t>
      </w:r>
    </w:p>
    <w:p w:rsidR="00FC53A7" w:rsidRDefault="00FC53A7">
      <w:pPr>
        <w:rPr>
          <w:rFonts w:ascii="Garamond" w:eastAsia="Garamond" w:hAnsi="Garamond" w:cs="Garamond"/>
          <w:sz w:val="28"/>
          <w:szCs w:val="28"/>
          <w:vertAlign w:val="superscript"/>
        </w:rPr>
      </w:pP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Evaluation Scheme:</w:t>
      </w:r>
    </w:p>
    <w:tbl>
      <w:tblPr>
        <w:tblStyle w:val="a0"/>
        <w:tblW w:w="9738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1209"/>
        <w:gridCol w:w="1310"/>
        <w:gridCol w:w="2097"/>
        <w:gridCol w:w="2849"/>
      </w:tblGrid>
      <w:tr w:rsidR="00FC53A7">
        <w:tc>
          <w:tcPr>
            <w:tcW w:w="2273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Component</w:t>
            </w:r>
          </w:p>
        </w:tc>
        <w:tc>
          <w:tcPr>
            <w:tcW w:w="120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Duration (minutes)</w:t>
            </w:r>
          </w:p>
        </w:tc>
        <w:tc>
          <w:tcPr>
            <w:tcW w:w="1310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Weightage </w:t>
            </w:r>
          </w:p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(%)</w:t>
            </w:r>
          </w:p>
        </w:tc>
        <w:tc>
          <w:tcPr>
            <w:tcW w:w="2097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Date &amp; Time</w:t>
            </w:r>
          </w:p>
        </w:tc>
        <w:tc>
          <w:tcPr>
            <w:tcW w:w="284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Nature of Component</w:t>
            </w:r>
          </w:p>
        </w:tc>
      </w:tr>
      <w:tr w:rsidR="00FC53A7">
        <w:tc>
          <w:tcPr>
            <w:tcW w:w="2273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Mid-Term</w:t>
            </w:r>
          </w:p>
        </w:tc>
        <w:tc>
          <w:tcPr>
            <w:tcW w:w="120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90</w:t>
            </w:r>
          </w:p>
        </w:tc>
        <w:tc>
          <w:tcPr>
            <w:tcW w:w="1310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</w:tc>
        <w:tc>
          <w:tcPr>
            <w:tcW w:w="2097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t>12/03 11.00am to12.30pm</w:t>
            </w:r>
          </w:p>
        </w:tc>
        <w:tc>
          <w:tcPr>
            <w:tcW w:w="284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Open Book</w:t>
            </w:r>
          </w:p>
        </w:tc>
      </w:tr>
      <w:tr w:rsidR="00FC53A7">
        <w:tc>
          <w:tcPr>
            <w:tcW w:w="2273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Assignments(3)</w:t>
            </w:r>
          </w:p>
        </w:tc>
        <w:tc>
          <w:tcPr>
            <w:tcW w:w="120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--</w:t>
            </w:r>
          </w:p>
        </w:tc>
        <w:tc>
          <w:tcPr>
            <w:tcW w:w="1310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25</w:t>
            </w:r>
          </w:p>
        </w:tc>
        <w:tc>
          <w:tcPr>
            <w:tcW w:w="2097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TBA in the class (Evenly distributed)</w:t>
            </w:r>
          </w:p>
        </w:tc>
        <w:tc>
          <w:tcPr>
            <w:tcW w:w="284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Open Book</w:t>
            </w:r>
          </w:p>
        </w:tc>
      </w:tr>
      <w:tr w:rsidR="00FC53A7">
        <w:tc>
          <w:tcPr>
            <w:tcW w:w="2273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Viva/Quiz/Lab Activity</w:t>
            </w:r>
          </w:p>
        </w:tc>
        <w:tc>
          <w:tcPr>
            <w:tcW w:w="120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--</w:t>
            </w:r>
          </w:p>
        </w:tc>
        <w:tc>
          <w:tcPr>
            <w:tcW w:w="1310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</w:p>
        </w:tc>
        <w:tc>
          <w:tcPr>
            <w:tcW w:w="2097" w:type="dxa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TBA in the class</w:t>
            </w:r>
          </w:p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(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This will be part of continuous assessment)</w:t>
            </w:r>
          </w:p>
        </w:tc>
        <w:tc>
          <w:tcPr>
            <w:tcW w:w="284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Open Book</w:t>
            </w:r>
          </w:p>
        </w:tc>
      </w:tr>
      <w:tr w:rsidR="00FC53A7">
        <w:tc>
          <w:tcPr>
            <w:tcW w:w="2273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Comprehensive Examination</w:t>
            </w:r>
          </w:p>
        </w:tc>
        <w:tc>
          <w:tcPr>
            <w:tcW w:w="120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120</w:t>
            </w:r>
          </w:p>
        </w:tc>
        <w:tc>
          <w:tcPr>
            <w:tcW w:w="1310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35</w:t>
            </w:r>
          </w:p>
        </w:tc>
        <w:tc>
          <w:tcPr>
            <w:tcW w:w="2097" w:type="dxa"/>
          </w:tcPr>
          <w:p w:rsidR="00FC53A7" w:rsidRDefault="00940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t>11/0</w:t>
            </w:r>
            <w:bookmarkStart w:id="1" w:name="_GoBack"/>
            <w:bookmarkEnd w:id="1"/>
            <w:r>
              <w:t>5 AN</w:t>
            </w:r>
          </w:p>
        </w:tc>
        <w:tc>
          <w:tcPr>
            <w:tcW w:w="2849" w:type="dxa"/>
          </w:tcPr>
          <w:p w:rsidR="00FC53A7" w:rsidRDefault="00940543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Open Book</w:t>
            </w:r>
          </w:p>
        </w:tc>
      </w:tr>
    </w:tbl>
    <w:p w:rsidR="00FC53A7" w:rsidRDefault="00FC53A7">
      <w:pPr>
        <w:rPr>
          <w:rFonts w:ascii="Garamond" w:eastAsia="Garamond" w:hAnsi="Garamond" w:cs="Garamond"/>
          <w:b/>
          <w:sz w:val="24"/>
          <w:szCs w:val="24"/>
        </w:rPr>
      </w:pP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Tutorials: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Hand-on session using MATLAB. Please install MATLAB in your personal PCs.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Consultation Hour: </w:t>
      </w:r>
      <w:r>
        <w:rPr>
          <w:rFonts w:ascii="Garamond" w:eastAsia="Garamond" w:hAnsi="Garamond" w:cs="Garamond"/>
          <w:color w:val="000000"/>
          <w:sz w:val="24"/>
          <w:szCs w:val="24"/>
        </w:rPr>
        <w:t>Will be announced in the class. [Chamber: D216]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Notices:  </w:t>
      </w:r>
      <w:r>
        <w:rPr>
          <w:rFonts w:ascii="Garamond" w:eastAsia="Garamond" w:hAnsi="Garamond" w:cs="Garamond"/>
          <w:color w:val="000000"/>
          <w:sz w:val="24"/>
          <w:szCs w:val="24"/>
        </w:rPr>
        <w:t>Notices concerning the course will be communicated via CMS.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Make-up Policy: </w:t>
      </w:r>
      <w:r>
        <w:rPr>
          <w:rFonts w:ascii="Garamond" w:eastAsia="Garamond" w:hAnsi="Garamond" w:cs="Garamond"/>
          <w:color w:val="000000"/>
          <w:sz w:val="24"/>
          <w:szCs w:val="24"/>
        </w:rPr>
        <w:t>Make-up will be granted only for genuine cases with valid justification and only with prior permission of Instructor-in-charge.</w:t>
      </w:r>
    </w:p>
    <w:p w:rsidR="00FC53A7" w:rsidRDefault="009405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Academic Honesty and Integrity Policy: </w:t>
      </w:r>
      <w:r>
        <w:rPr>
          <w:rFonts w:ascii="Garamond" w:eastAsia="Garamond" w:hAnsi="Garamond" w:cs="Garamond"/>
          <w:color w:val="000000"/>
          <w:sz w:val="24"/>
          <w:szCs w:val="24"/>
        </w:rPr>
        <w:t>Academic hone</w:t>
      </w:r>
      <w:r>
        <w:rPr>
          <w:rFonts w:ascii="Garamond" w:eastAsia="Garamond" w:hAnsi="Garamond" w:cs="Garamond"/>
          <w:color w:val="000000"/>
          <w:sz w:val="24"/>
          <w:szCs w:val="24"/>
        </w:rPr>
        <w:t>sty and integrity are to be maintained by all the students throughout the semester and no type of academic dishonesty is acceptable.</w:t>
      </w:r>
    </w:p>
    <w:p w:rsidR="00FC53A7" w:rsidRDefault="00FC53A7">
      <w:pPr>
        <w:spacing w:after="240" w:line="360" w:lineRule="auto"/>
        <w:ind w:left="-90"/>
        <w:jc w:val="right"/>
        <w:rPr>
          <w:rFonts w:ascii="Garamond" w:eastAsia="Garamond" w:hAnsi="Garamond" w:cs="Garamond"/>
          <w:b/>
          <w:sz w:val="24"/>
          <w:szCs w:val="24"/>
        </w:rPr>
      </w:pPr>
    </w:p>
    <w:p w:rsidR="00FC53A7" w:rsidRDefault="00940543">
      <w:pPr>
        <w:ind w:left="-9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sz w:val="24"/>
          <w:szCs w:val="24"/>
        </w:rPr>
        <w:t>Arnab Dutta</w:t>
      </w:r>
    </w:p>
    <w:p w:rsidR="00FC53A7" w:rsidRDefault="00940543">
      <w:pPr>
        <w:ind w:left="-9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/>
          <w:noProof/>
          <w:sz w:val="24"/>
          <w:szCs w:val="24"/>
          <w:lang w:val="en-IN"/>
        </w:rPr>
        <w:drawing>
          <wp:inline distT="0" distB="0" distL="0" distR="0">
            <wp:extent cx="1047367" cy="541127"/>
            <wp:effectExtent l="0" t="0" r="0" b="0"/>
            <wp:docPr id="5" name="image2.png" descr="C:\Users\BITS\OneDrive - hyderabad.bits-pilani.ac.in\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BITS\OneDrive - hyderabad.bits-pilani.ac.in\signa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367" cy="541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53A7" w:rsidRDefault="00940543">
      <w:pPr>
        <w:ind w:left="-90"/>
        <w:jc w:val="right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Instructor-in-charge</w:t>
      </w:r>
    </w:p>
    <w:p w:rsidR="00FC53A7" w:rsidRDefault="00940543">
      <w:pPr>
        <w:spacing w:after="240" w:line="360" w:lineRule="auto"/>
        <w:ind w:left="-9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                                                                      CHE F242</w:t>
      </w:r>
    </w:p>
    <w:sectPr w:rsidR="00FC53A7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596"/>
    <w:multiLevelType w:val="multilevel"/>
    <w:tmpl w:val="549E85C8"/>
    <w:lvl w:ilvl="0">
      <w:start w:val="1"/>
      <w:numFmt w:val="bullet"/>
      <w:lvlText w:val="▪"/>
      <w:lvlJc w:val="left"/>
      <w:pPr>
        <w:ind w:left="6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4E5433"/>
    <w:multiLevelType w:val="multilevel"/>
    <w:tmpl w:val="D5EC762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684122"/>
    <w:multiLevelType w:val="multilevel"/>
    <w:tmpl w:val="F006A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D757ED"/>
    <w:multiLevelType w:val="multilevel"/>
    <w:tmpl w:val="E272B6B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814325"/>
    <w:multiLevelType w:val="multilevel"/>
    <w:tmpl w:val="47D2A07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3E4E79"/>
    <w:multiLevelType w:val="multilevel"/>
    <w:tmpl w:val="972C064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7456A"/>
    <w:multiLevelType w:val="multilevel"/>
    <w:tmpl w:val="828CDC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6C0930"/>
    <w:multiLevelType w:val="multilevel"/>
    <w:tmpl w:val="4EA20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A7"/>
    <w:rsid w:val="00940543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BDEF"/>
  <w15:docId w15:val="{27E0E736-9B5F-4127-AAE2-8672207A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B1"/>
  </w:style>
  <w:style w:type="paragraph" w:styleId="Heading1">
    <w:name w:val="heading 1"/>
    <w:basedOn w:val="Normal"/>
    <w:next w:val="Normal"/>
    <w:link w:val="Heading1Char"/>
    <w:uiPriority w:val="9"/>
    <w:qFormat/>
    <w:rsid w:val="00352C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C17B1"/>
    <w:pPr>
      <w:keepNext/>
      <w:jc w:val="right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Normal"/>
    <w:link w:val="Heading6Char"/>
    <w:qFormat/>
    <w:rsid w:val="00EC17B1"/>
    <w:pPr>
      <w:keepNext/>
      <w:jc w:val="right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EC17B1"/>
    <w:pPr>
      <w:keepNext/>
      <w:jc w:val="center"/>
      <w:outlineLvl w:val="6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17B1"/>
    <w:pPr>
      <w:jc w:val="center"/>
    </w:pPr>
    <w:rPr>
      <w:b/>
      <w:sz w:val="24"/>
    </w:rPr>
  </w:style>
  <w:style w:type="character" w:customStyle="1" w:styleId="Heading5Char">
    <w:name w:val="Heading 5 Char"/>
    <w:basedOn w:val="DefaultParagraphFont"/>
    <w:link w:val="Heading5"/>
    <w:rsid w:val="00EC17B1"/>
    <w:rPr>
      <w:rFonts w:ascii="Times New Roman" w:eastAsia="Times New Roman" w:hAnsi="Times New Roman" w:cs="Times New Roman"/>
      <w:b/>
      <w:bCs/>
      <w:i/>
      <w:i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C17B1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C17B1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EC17B1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C17B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C17B1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EC17B1"/>
    <w:rPr>
      <w:sz w:val="22"/>
    </w:rPr>
  </w:style>
  <w:style w:type="character" w:customStyle="1" w:styleId="BodyText3Char">
    <w:name w:val="Body Text 3 Char"/>
    <w:basedOn w:val="DefaultParagraphFont"/>
    <w:link w:val="BodyText3"/>
    <w:rsid w:val="00EC17B1"/>
    <w:rPr>
      <w:rFonts w:ascii="Times New Roman" w:eastAsia="Times New Roman" w:hAnsi="Times New Roman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b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EC17B1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NormalWeb">
    <w:name w:val="Normal (Web)"/>
    <w:basedOn w:val="Normal"/>
    <w:uiPriority w:val="99"/>
    <w:rsid w:val="00EC17B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EC17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C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352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666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Kn3TeIfZAxAv5W7dgrVDz68Nw==">AMUW2mWZTEgJENaCKmzUTY8Gnd24EsyX1kCxFIatzBxMdGk05GLJhbtWH8V1wLWhxYRJSrZFV4uuCPZoMX4AcZS26wzwdfDBesbk0bRakC8jYjUT5U9A2n8szpIgqgy/z1ihfm6VX/3f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BITS</cp:lastModifiedBy>
  <cp:revision>2</cp:revision>
  <dcterms:created xsi:type="dcterms:W3CDTF">2020-12-22T13:47:00Z</dcterms:created>
  <dcterms:modified xsi:type="dcterms:W3CDTF">2022-01-13T02:22:00Z</dcterms:modified>
</cp:coreProperties>
</file>