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EBC" w:rsidRDefault="00536A9D">
      <w:pPr>
        <w:jc w:val="center"/>
        <w:rPr>
          <w:b/>
        </w:rPr>
      </w:pPr>
      <w:bookmarkStart w:id="0" w:name="_heading=h.gjdgxs" w:colFirst="0" w:colLast="0"/>
      <w:bookmarkEnd w:id="0"/>
      <w:r>
        <w:rPr>
          <w:b/>
          <w:noProof/>
          <w:lang w:val="en-IN"/>
        </w:rPr>
        <w:drawing>
          <wp:inline distT="0" distB="0" distL="0" distR="0">
            <wp:extent cx="4914900"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14900" cy="1019175"/>
                    </a:xfrm>
                    <a:prstGeom prst="rect">
                      <a:avLst/>
                    </a:prstGeom>
                    <a:ln/>
                  </pic:spPr>
                </pic:pic>
              </a:graphicData>
            </a:graphic>
          </wp:inline>
        </w:drawing>
      </w:r>
    </w:p>
    <w:p w:rsidR="00350EBC" w:rsidRDefault="0078468F">
      <w:pPr>
        <w:jc w:val="center"/>
        <w:rPr>
          <w:b/>
        </w:rPr>
      </w:pPr>
      <w:r>
        <w:rPr>
          <w:b/>
        </w:rPr>
        <w:t>SECOND</w:t>
      </w:r>
      <w:r w:rsidR="00536A9D">
        <w:rPr>
          <w:b/>
        </w:rPr>
        <w:t xml:space="preserve"> SEMESTER 2021-2022</w:t>
      </w:r>
    </w:p>
    <w:p w:rsidR="00350EBC" w:rsidRDefault="00536A9D">
      <w:pPr>
        <w:pStyle w:val="Heading1"/>
        <w:jc w:val="center"/>
      </w:pPr>
      <w:r>
        <w:t>Course Handout Part II</w:t>
      </w:r>
    </w:p>
    <w:p w:rsidR="00350EBC" w:rsidRDefault="0078468F">
      <w:pPr>
        <w:jc w:val="right"/>
      </w:pPr>
      <w:r>
        <w:tab/>
      </w:r>
      <w:r>
        <w:tab/>
      </w:r>
      <w:r>
        <w:tab/>
      </w:r>
      <w:r>
        <w:tab/>
      </w:r>
      <w:r>
        <w:tab/>
      </w:r>
      <w:r>
        <w:tab/>
      </w:r>
      <w:r>
        <w:tab/>
      </w:r>
      <w:r>
        <w:tab/>
      </w:r>
      <w:r>
        <w:tab/>
      </w:r>
      <w:r>
        <w:tab/>
        <w:t xml:space="preserve">    Date: 15-01</w:t>
      </w:r>
      <w:r w:rsidR="00536A9D">
        <w:t>-202</w:t>
      </w:r>
      <w:r>
        <w:t>2</w:t>
      </w:r>
      <w:r w:rsidR="00536A9D">
        <w:t xml:space="preserve"> </w:t>
      </w:r>
    </w:p>
    <w:p w:rsidR="00350EBC" w:rsidRDefault="00536A9D">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350EBC" w:rsidRDefault="00536A9D">
      <w:pPr>
        <w:rPr>
          <w:b/>
        </w:rPr>
      </w:pPr>
      <w:r>
        <w:rPr>
          <w:b/>
        </w:rPr>
        <w:t>Course No.</w:t>
      </w:r>
      <w:r>
        <w:rPr>
          <w:b/>
        </w:rPr>
        <w:tab/>
      </w:r>
      <w:r>
        <w:rPr>
          <w:b/>
        </w:rPr>
        <w:tab/>
      </w:r>
      <w:r>
        <w:rPr>
          <w:b/>
        </w:rPr>
        <w:tab/>
        <w:t>: CHE F244</w:t>
      </w:r>
    </w:p>
    <w:p w:rsidR="00350EBC" w:rsidRDefault="00536A9D">
      <w:pPr>
        <w:pStyle w:val="Heading2"/>
        <w:rPr>
          <w:b/>
          <w:i w:val="0"/>
        </w:rPr>
      </w:pPr>
      <w:r>
        <w:rPr>
          <w:b/>
          <w:i w:val="0"/>
        </w:rPr>
        <w:t>Course Title</w:t>
      </w:r>
      <w:r>
        <w:rPr>
          <w:b/>
          <w:i w:val="0"/>
        </w:rPr>
        <w:tab/>
      </w:r>
      <w:r>
        <w:rPr>
          <w:b/>
          <w:i w:val="0"/>
        </w:rPr>
        <w:tab/>
      </w:r>
      <w:r>
        <w:rPr>
          <w:b/>
          <w:i w:val="0"/>
        </w:rPr>
        <w:tab/>
        <w:t xml:space="preserve">: Separation Processes I </w:t>
      </w:r>
    </w:p>
    <w:p w:rsidR="00350EBC" w:rsidRDefault="00536A9D">
      <w:pPr>
        <w:pStyle w:val="Heading2"/>
        <w:rPr>
          <w:b/>
          <w:i w:val="0"/>
        </w:rPr>
      </w:pPr>
      <w:r>
        <w:rPr>
          <w:b/>
          <w:i w:val="0"/>
        </w:rPr>
        <w:t>Instructor-in-Charge</w:t>
      </w:r>
      <w:r>
        <w:rPr>
          <w:b/>
          <w:i w:val="0"/>
        </w:rPr>
        <w:tab/>
        <w:t xml:space="preserve">: Dr. </w:t>
      </w:r>
      <w:proofErr w:type="spellStart"/>
      <w:r>
        <w:rPr>
          <w:b/>
          <w:i w:val="0"/>
        </w:rPr>
        <w:t>Satyapaul</w:t>
      </w:r>
      <w:proofErr w:type="spellEnd"/>
      <w:r>
        <w:rPr>
          <w:b/>
          <w:i w:val="0"/>
        </w:rPr>
        <w:t xml:space="preserve"> A. Singh</w:t>
      </w:r>
    </w:p>
    <w:p w:rsidR="00350EBC" w:rsidRDefault="00536A9D">
      <w:pPr>
        <w:rPr>
          <w:b/>
        </w:rPr>
      </w:pPr>
      <w:r>
        <w:rPr>
          <w:b/>
        </w:rPr>
        <w:t>Scope and Objective of the Course:</w:t>
      </w:r>
    </w:p>
    <w:p w:rsidR="00350EBC" w:rsidRDefault="00536A9D">
      <w:pPr>
        <w:jc w:val="both"/>
        <w:rPr>
          <w:sz w:val="22"/>
          <w:szCs w:val="22"/>
        </w:rPr>
      </w:pPr>
      <w:r>
        <w:rPr>
          <w:sz w:val="22"/>
          <w:szCs w:val="22"/>
        </w:rPr>
        <w:t>This course is designed to understand the mass transfer operations by applying the principles of molecular and interphase mass transfer. As a part of Separation Processes I, students apply the physical understanding about mass transfer operations and learn the design approach for absorption, distillation, extraction and leaching.</w:t>
      </w:r>
    </w:p>
    <w:p w:rsidR="00350EBC" w:rsidRDefault="00536A9D">
      <w:pPr>
        <w:jc w:val="both"/>
        <w:rPr>
          <w:b/>
          <w:sz w:val="22"/>
          <w:szCs w:val="22"/>
        </w:rPr>
      </w:pPr>
      <w:r>
        <w:rPr>
          <w:b/>
          <w:sz w:val="22"/>
          <w:szCs w:val="22"/>
        </w:rPr>
        <w:t>Content:</w:t>
      </w:r>
    </w:p>
    <w:p w:rsidR="00350EBC" w:rsidRDefault="00536A9D">
      <w:pPr>
        <w:jc w:val="both"/>
        <w:rPr>
          <w:b/>
          <w:sz w:val="22"/>
          <w:szCs w:val="22"/>
        </w:rPr>
      </w:pPr>
      <w:r>
        <w:rPr>
          <w:sz w:val="22"/>
          <w:szCs w:val="22"/>
        </w:rPr>
        <w:t xml:space="preserve">Molecular diffusion in fluids, Interphase mass transfer, mass transfer coefficient, Theories for interphase mass transfer, overall mass transfer coefficient and correlations, mass transfer with chemical reaction, analogy between momentum, heat and mass transfer, Absorption, Distillation including </w:t>
      </w:r>
      <w:proofErr w:type="spellStart"/>
      <w:r>
        <w:rPr>
          <w:sz w:val="22"/>
          <w:szCs w:val="22"/>
        </w:rPr>
        <w:t>azeotropic</w:t>
      </w:r>
      <w:proofErr w:type="spellEnd"/>
      <w:r>
        <w:rPr>
          <w:sz w:val="22"/>
          <w:szCs w:val="22"/>
        </w:rPr>
        <w:t xml:space="preserve"> and extractive distillation, Liquid-Liquid extraction, Leaching, Equipment for absorption, distillation, extraction and leaching.</w:t>
      </w:r>
    </w:p>
    <w:p w:rsidR="00350EBC" w:rsidRDefault="00536A9D">
      <w:pPr>
        <w:pBdr>
          <w:top w:val="nil"/>
          <w:left w:val="nil"/>
          <w:bottom w:val="nil"/>
          <w:right w:val="nil"/>
          <w:between w:val="nil"/>
        </w:pBdr>
        <w:jc w:val="both"/>
        <w:rPr>
          <w:color w:val="000000"/>
        </w:rPr>
      </w:pPr>
      <w:r>
        <w:rPr>
          <w:b/>
          <w:color w:val="000000"/>
        </w:rPr>
        <w:t>Textbooks:</w:t>
      </w:r>
    </w:p>
    <w:p w:rsidR="00350EBC" w:rsidRDefault="00536A9D">
      <w:pPr>
        <w:jc w:val="both"/>
        <w:rPr>
          <w:sz w:val="22"/>
          <w:szCs w:val="22"/>
        </w:rPr>
      </w:pPr>
      <w:r>
        <w:rPr>
          <w:sz w:val="22"/>
          <w:szCs w:val="22"/>
        </w:rPr>
        <w:t xml:space="preserve">T1 – Robert E. </w:t>
      </w:r>
      <w:proofErr w:type="spellStart"/>
      <w:r>
        <w:rPr>
          <w:sz w:val="22"/>
          <w:szCs w:val="22"/>
        </w:rPr>
        <w:t>Treybal</w:t>
      </w:r>
      <w:proofErr w:type="spellEnd"/>
      <w:r>
        <w:rPr>
          <w:sz w:val="22"/>
          <w:szCs w:val="22"/>
        </w:rPr>
        <w:t>, “Mass Transfer Operations”, McGraw Hill, 3</w:t>
      </w:r>
      <w:r>
        <w:rPr>
          <w:sz w:val="22"/>
          <w:szCs w:val="22"/>
          <w:vertAlign w:val="superscript"/>
        </w:rPr>
        <w:t>rd</w:t>
      </w:r>
      <w:r>
        <w:rPr>
          <w:sz w:val="22"/>
          <w:szCs w:val="22"/>
        </w:rPr>
        <w:t xml:space="preserve"> Edition (1981).</w:t>
      </w:r>
    </w:p>
    <w:p w:rsidR="00350EBC" w:rsidRDefault="00536A9D">
      <w:pPr>
        <w:jc w:val="both"/>
        <w:rPr>
          <w:sz w:val="22"/>
          <w:szCs w:val="22"/>
        </w:rPr>
      </w:pPr>
      <w:r>
        <w:rPr>
          <w:sz w:val="22"/>
          <w:szCs w:val="22"/>
        </w:rPr>
        <w:t xml:space="preserve">T2 – J. D. </w:t>
      </w:r>
      <w:proofErr w:type="spellStart"/>
      <w:r>
        <w:rPr>
          <w:sz w:val="22"/>
          <w:szCs w:val="22"/>
        </w:rPr>
        <w:t>Seader</w:t>
      </w:r>
      <w:proofErr w:type="spellEnd"/>
      <w:r>
        <w:rPr>
          <w:sz w:val="22"/>
          <w:szCs w:val="22"/>
        </w:rPr>
        <w:t xml:space="preserve"> and Ernest J. Henley, “Separation Process principles” John Wiley &amp; Sons, </w:t>
      </w:r>
      <w:proofErr w:type="spellStart"/>
      <w:r>
        <w:rPr>
          <w:sz w:val="22"/>
          <w:szCs w:val="22"/>
        </w:rPr>
        <w:t>Inc</w:t>
      </w:r>
      <w:proofErr w:type="spellEnd"/>
      <w:r>
        <w:rPr>
          <w:sz w:val="22"/>
          <w:szCs w:val="22"/>
        </w:rPr>
        <w:t>, 2</w:t>
      </w:r>
      <w:r>
        <w:rPr>
          <w:sz w:val="22"/>
          <w:szCs w:val="22"/>
          <w:vertAlign w:val="superscript"/>
        </w:rPr>
        <w:t>nd</w:t>
      </w:r>
      <w:r>
        <w:rPr>
          <w:sz w:val="22"/>
          <w:szCs w:val="22"/>
        </w:rPr>
        <w:t xml:space="preserve"> Edition (2006). </w:t>
      </w:r>
    </w:p>
    <w:p w:rsidR="00350EBC" w:rsidRDefault="00536A9D">
      <w:pPr>
        <w:jc w:val="both"/>
        <w:rPr>
          <w:b/>
          <w:sz w:val="22"/>
          <w:szCs w:val="22"/>
        </w:rPr>
      </w:pPr>
      <w:r>
        <w:rPr>
          <w:b/>
          <w:sz w:val="22"/>
          <w:szCs w:val="22"/>
        </w:rPr>
        <w:t>Reference books:</w:t>
      </w:r>
    </w:p>
    <w:p w:rsidR="00350EBC" w:rsidRDefault="00536A9D">
      <w:pPr>
        <w:jc w:val="both"/>
      </w:pPr>
      <w:r>
        <w:rPr>
          <w:sz w:val="22"/>
          <w:szCs w:val="22"/>
        </w:rPr>
        <w:t xml:space="preserve">R1 – </w:t>
      </w:r>
      <w:proofErr w:type="spellStart"/>
      <w:r>
        <w:t>Binay</w:t>
      </w:r>
      <w:proofErr w:type="spellEnd"/>
      <w:r>
        <w:t xml:space="preserve"> K. </w:t>
      </w:r>
      <w:proofErr w:type="spellStart"/>
      <w:proofErr w:type="gramStart"/>
      <w:r>
        <w:t>Dutta,“</w:t>
      </w:r>
      <w:proofErr w:type="gramEnd"/>
      <w:r>
        <w:t>Principles</w:t>
      </w:r>
      <w:proofErr w:type="spellEnd"/>
      <w:r>
        <w:t xml:space="preserve"> of mass transfer and separation processes”, PHI Learning </w:t>
      </w:r>
      <w:proofErr w:type="spellStart"/>
      <w:r>
        <w:t>Pvt</w:t>
      </w:r>
      <w:proofErr w:type="spellEnd"/>
      <w:r>
        <w:t xml:space="preserve"> Ltd, (2007).</w:t>
      </w:r>
    </w:p>
    <w:p w:rsidR="00350EBC" w:rsidRDefault="00536A9D">
      <w:pPr>
        <w:jc w:val="both"/>
        <w:rPr>
          <w:sz w:val="22"/>
          <w:szCs w:val="22"/>
        </w:rPr>
      </w:pPr>
      <w:r>
        <w:t xml:space="preserve">R2 - </w:t>
      </w:r>
      <w:r>
        <w:rPr>
          <w:sz w:val="22"/>
          <w:szCs w:val="22"/>
        </w:rPr>
        <w:t xml:space="preserve">McCabe, W. L., Smith, J. C., </w:t>
      </w:r>
      <w:proofErr w:type="spellStart"/>
      <w:r>
        <w:rPr>
          <w:sz w:val="22"/>
          <w:szCs w:val="22"/>
        </w:rPr>
        <w:t>Harriott</w:t>
      </w:r>
      <w:proofErr w:type="spellEnd"/>
      <w:r>
        <w:rPr>
          <w:sz w:val="22"/>
          <w:szCs w:val="22"/>
        </w:rPr>
        <w:t>, P., “Unit Operations of Chemical Engineering”, McGraw-Hill, 7</w:t>
      </w:r>
      <w:r>
        <w:rPr>
          <w:sz w:val="22"/>
          <w:szCs w:val="22"/>
          <w:vertAlign w:val="superscript"/>
        </w:rPr>
        <w:t>th</w:t>
      </w:r>
      <w:r>
        <w:rPr>
          <w:sz w:val="22"/>
          <w:szCs w:val="22"/>
        </w:rPr>
        <w:t xml:space="preserve"> Edition, (2005).</w:t>
      </w:r>
    </w:p>
    <w:p w:rsidR="00350EBC" w:rsidRDefault="00350EBC">
      <w:pPr>
        <w:jc w:val="both"/>
        <w:rPr>
          <w:sz w:val="22"/>
          <w:szCs w:val="22"/>
        </w:rPr>
      </w:pPr>
    </w:p>
    <w:p w:rsidR="00350EBC" w:rsidRDefault="00536A9D">
      <w:pPr>
        <w:jc w:val="both"/>
        <w:rPr>
          <w:b/>
        </w:rPr>
      </w:pPr>
      <w:r>
        <w:rPr>
          <w:b/>
        </w:rPr>
        <w:t>Course Plan:</w:t>
      </w:r>
    </w:p>
    <w:tbl>
      <w:tblPr>
        <w:tblStyle w:val="a"/>
        <w:tblW w:w="1076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1984"/>
        <w:gridCol w:w="6095"/>
        <w:gridCol w:w="1701"/>
      </w:tblGrid>
      <w:tr w:rsidR="00350EBC">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50EBC" w:rsidRDefault="00536A9D">
            <w:pPr>
              <w:jc w:val="center"/>
              <w:rPr>
                <w:b/>
                <w:sz w:val="22"/>
                <w:szCs w:val="22"/>
              </w:rPr>
            </w:pPr>
            <w:r>
              <w:rPr>
                <w:b/>
                <w:sz w:val="22"/>
                <w:szCs w:val="22"/>
              </w:rPr>
              <w:t>Lecture No.</w:t>
            </w:r>
          </w:p>
        </w:tc>
        <w:tc>
          <w:tcPr>
            <w:tcW w:w="19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50EBC" w:rsidRDefault="00536A9D">
            <w:pPr>
              <w:jc w:val="center"/>
              <w:rPr>
                <w:b/>
                <w:sz w:val="22"/>
                <w:szCs w:val="22"/>
              </w:rPr>
            </w:pPr>
            <w:r>
              <w:rPr>
                <w:b/>
                <w:sz w:val="22"/>
                <w:szCs w:val="22"/>
              </w:rPr>
              <w:t>Learning objectives</w:t>
            </w:r>
          </w:p>
        </w:tc>
        <w:tc>
          <w:tcPr>
            <w:tcW w:w="609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50EBC" w:rsidRDefault="00536A9D">
            <w:pPr>
              <w:jc w:val="center"/>
              <w:rPr>
                <w:b/>
                <w:sz w:val="22"/>
                <w:szCs w:val="22"/>
              </w:rPr>
            </w:pPr>
            <w:r>
              <w:rPr>
                <w:b/>
                <w:sz w:val="22"/>
                <w:szCs w:val="22"/>
              </w:rPr>
              <w:t>Topics to be covered</w:t>
            </w:r>
          </w:p>
        </w:tc>
        <w:tc>
          <w:tcPr>
            <w:tcW w:w="170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50EBC" w:rsidRDefault="00536A9D">
            <w:pPr>
              <w:jc w:val="center"/>
              <w:rPr>
                <w:b/>
                <w:sz w:val="22"/>
                <w:szCs w:val="22"/>
              </w:rPr>
            </w:pPr>
            <w:r>
              <w:rPr>
                <w:b/>
                <w:sz w:val="22"/>
                <w:szCs w:val="22"/>
              </w:rPr>
              <w:t>Chapter in the Text Book</w:t>
            </w:r>
          </w:p>
        </w:tc>
      </w:tr>
      <w:tr w:rsidR="00350EBC">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rsidR="00350EBC" w:rsidRDefault="00536A9D">
            <w:pPr>
              <w:jc w:val="center"/>
              <w:rPr>
                <w:sz w:val="22"/>
                <w:szCs w:val="22"/>
              </w:rPr>
            </w:pPr>
            <w:r>
              <w:rPr>
                <w:sz w:val="22"/>
                <w:szCs w:val="22"/>
              </w:rPr>
              <w:t>1</w:t>
            </w:r>
          </w:p>
        </w:tc>
        <w:tc>
          <w:tcPr>
            <w:tcW w:w="1984" w:type="dxa"/>
            <w:tcBorders>
              <w:top w:val="single" w:sz="6" w:space="0" w:color="000000"/>
              <w:left w:val="single" w:sz="6" w:space="0" w:color="000000"/>
              <w:bottom w:val="single" w:sz="6" w:space="0" w:color="000000"/>
              <w:right w:val="single" w:sz="6" w:space="0" w:color="000000"/>
            </w:tcBorders>
            <w:vAlign w:val="center"/>
          </w:tcPr>
          <w:p w:rsidR="00350EBC" w:rsidRDefault="00536A9D">
            <w:pPr>
              <w:rPr>
                <w:sz w:val="22"/>
                <w:szCs w:val="22"/>
              </w:rPr>
            </w:pPr>
            <w:r>
              <w:rPr>
                <w:sz w:val="22"/>
                <w:szCs w:val="22"/>
              </w:rPr>
              <w:t>Introduction to separation processes</w:t>
            </w:r>
          </w:p>
        </w:tc>
        <w:tc>
          <w:tcPr>
            <w:tcW w:w="6095" w:type="dxa"/>
            <w:tcBorders>
              <w:top w:val="single" w:sz="6" w:space="0" w:color="000000"/>
              <w:left w:val="single" w:sz="6" w:space="0" w:color="000000"/>
              <w:bottom w:val="single" w:sz="6" w:space="0" w:color="000000"/>
              <w:right w:val="single" w:sz="6" w:space="0" w:color="000000"/>
            </w:tcBorders>
            <w:vAlign w:val="center"/>
          </w:tcPr>
          <w:p w:rsidR="00350EBC" w:rsidRDefault="00536A9D">
            <w:pPr>
              <w:rPr>
                <w:sz w:val="22"/>
                <w:szCs w:val="22"/>
              </w:rPr>
            </w:pPr>
            <w:r>
              <w:rPr>
                <w:sz w:val="22"/>
                <w:szCs w:val="22"/>
              </w:rPr>
              <w:t>Unit operations and unit process, Basic concepts</w:t>
            </w:r>
          </w:p>
        </w:tc>
        <w:tc>
          <w:tcPr>
            <w:tcW w:w="1701"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jc w:val="center"/>
              <w:rPr>
                <w:color w:val="000000"/>
                <w:sz w:val="22"/>
                <w:szCs w:val="22"/>
              </w:rPr>
            </w:pPr>
            <w:r>
              <w:rPr>
                <w:color w:val="000000"/>
                <w:sz w:val="22"/>
                <w:szCs w:val="22"/>
              </w:rPr>
              <w:t>Ch. 1 T1,T2</w:t>
            </w:r>
          </w:p>
        </w:tc>
      </w:tr>
      <w:tr w:rsidR="00350EBC">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jc w:val="center"/>
              <w:rPr>
                <w:color w:val="000000"/>
                <w:sz w:val="22"/>
                <w:szCs w:val="22"/>
              </w:rPr>
            </w:pPr>
            <w:r>
              <w:rPr>
                <w:color w:val="000000"/>
                <w:sz w:val="22"/>
                <w:szCs w:val="22"/>
              </w:rPr>
              <w:t>2-5</w:t>
            </w:r>
          </w:p>
        </w:tc>
        <w:tc>
          <w:tcPr>
            <w:tcW w:w="1984"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Molecular diffusion in fluids</w:t>
            </w:r>
          </w:p>
        </w:tc>
        <w:tc>
          <w:tcPr>
            <w:tcW w:w="6095" w:type="dxa"/>
            <w:tcBorders>
              <w:top w:val="single" w:sz="6" w:space="0" w:color="000000"/>
              <w:left w:val="single" w:sz="6" w:space="0" w:color="000000"/>
              <w:bottom w:val="single" w:sz="6" w:space="0" w:color="000000"/>
              <w:right w:val="single" w:sz="6" w:space="0" w:color="000000"/>
            </w:tcBorders>
            <w:vAlign w:val="center"/>
          </w:tcPr>
          <w:p w:rsidR="00350EBC" w:rsidRDefault="00536A9D">
            <w:pPr>
              <w:rPr>
                <w:sz w:val="22"/>
                <w:szCs w:val="22"/>
              </w:rPr>
            </w:pPr>
            <w:r>
              <w:rPr>
                <w:sz w:val="22"/>
                <w:szCs w:val="22"/>
              </w:rPr>
              <w:t>Molecular diffusion and fluxes,</w:t>
            </w:r>
          </w:p>
          <w:p w:rsidR="00350EBC" w:rsidRDefault="00536A9D">
            <w:pPr>
              <w:pBdr>
                <w:top w:val="nil"/>
                <w:left w:val="nil"/>
                <w:bottom w:val="nil"/>
                <w:right w:val="nil"/>
                <w:between w:val="nil"/>
              </w:pBdr>
              <w:rPr>
                <w:color w:val="000000"/>
                <w:sz w:val="22"/>
                <w:szCs w:val="22"/>
              </w:rPr>
            </w:pPr>
            <w:r>
              <w:rPr>
                <w:color w:val="000000"/>
                <w:sz w:val="22"/>
                <w:szCs w:val="22"/>
              </w:rPr>
              <w:t xml:space="preserve">Molecular diffusion in Gases (stagnant film, </w:t>
            </w:r>
            <w:proofErr w:type="spellStart"/>
            <w:r>
              <w:rPr>
                <w:color w:val="000000"/>
                <w:sz w:val="22"/>
                <w:szCs w:val="22"/>
              </w:rPr>
              <w:t>equimolal</w:t>
            </w:r>
            <w:proofErr w:type="spellEnd"/>
            <w:r>
              <w:rPr>
                <w:color w:val="000000"/>
                <w:sz w:val="22"/>
                <w:szCs w:val="22"/>
              </w:rPr>
              <w:t xml:space="preserve"> counter diffusion), Diffusivity of gases and liquids.</w:t>
            </w:r>
          </w:p>
        </w:tc>
        <w:tc>
          <w:tcPr>
            <w:tcW w:w="1701" w:type="dxa"/>
            <w:tcBorders>
              <w:top w:val="single" w:sz="6" w:space="0" w:color="000000"/>
              <w:left w:val="single" w:sz="6" w:space="0" w:color="000000"/>
              <w:bottom w:val="single" w:sz="6" w:space="0" w:color="000000"/>
              <w:right w:val="single" w:sz="6" w:space="0" w:color="000000"/>
            </w:tcBorders>
            <w:vAlign w:val="center"/>
          </w:tcPr>
          <w:p w:rsidR="00350EBC" w:rsidRDefault="00536A9D">
            <w:pPr>
              <w:jc w:val="center"/>
              <w:rPr>
                <w:sz w:val="22"/>
                <w:szCs w:val="22"/>
              </w:rPr>
            </w:pPr>
            <w:r>
              <w:rPr>
                <w:sz w:val="22"/>
                <w:szCs w:val="22"/>
              </w:rPr>
              <w:t>Ch. 2, T1</w:t>
            </w:r>
          </w:p>
          <w:p w:rsidR="00350EBC" w:rsidRDefault="00536A9D">
            <w:pPr>
              <w:jc w:val="center"/>
              <w:rPr>
                <w:sz w:val="22"/>
                <w:szCs w:val="22"/>
              </w:rPr>
            </w:pPr>
            <w:r>
              <w:rPr>
                <w:sz w:val="22"/>
                <w:szCs w:val="22"/>
              </w:rPr>
              <w:t>Ch. 3 T2</w:t>
            </w:r>
          </w:p>
          <w:p w:rsidR="00350EBC" w:rsidRDefault="00350EBC">
            <w:pPr>
              <w:jc w:val="center"/>
              <w:rPr>
                <w:sz w:val="22"/>
                <w:szCs w:val="22"/>
              </w:rPr>
            </w:pPr>
          </w:p>
          <w:p w:rsidR="00350EBC" w:rsidRDefault="00350EBC">
            <w:pPr>
              <w:pBdr>
                <w:top w:val="nil"/>
                <w:left w:val="nil"/>
                <w:bottom w:val="nil"/>
                <w:right w:val="nil"/>
                <w:between w:val="nil"/>
              </w:pBdr>
              <w:jc w:val="center"/>
              <w:rPr>
                <w:color w:val="000000"/>
                <w:sz w:val="22"/>
                <w:szCs w:val="22"/>
              </w:rPr>
            </w:pPr>
          </w:p>
        </w:tc>
      </w:tr>
      <w:tr w:rsidR="00350EBC">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jc w:val="center"/>
              <w:rPr>
                <w:color w:val="000000"/>
                <w:sz w:val="22"/>
                <w:szCs w:val="22"/>
              </w:rPr>
            </w:pPr>
            <w:r>
              <w:rPr>
                <w:color w:val="000000"/>
                <w:sz w:val="22"/>
                <w:szCs w:val="22"/>
              </w:rPr>
              <w:t>6-14</w:t>
            </w:r>
          </w:p>
        </w:tc>
        <w:tc>
          <w:tcPr>
            <w:tcW w:w="1984"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Mass transfer coefficients, interphase mass transfer</w:t>
            </w:r>
          </w:p>
        </w:tc>
        <w:tc>
          <w:tcPr>
            <w:tcW w:w="6095" w:type="dxa"/>
            <w:tcBorders>
              <w:top w:val="single" w:sz="6" w:space="0" w:color="000000"/>
              <w:left w:val="single" w:sz="6" w:space="0" w:color="000000"/>
              <w:bottom w:val="single" w:sz="6" w:space="0" w:color="000000"/>
              <w:right w:val="single" w:sz="6" w:space="0" w:color="000000"/>
            </w:tcBorders>
            <w:vAlign w:val="center"/>
          </w:tcPr>
          <w:p w:rsidR="00350EBC" w:rsidRDefault="00536A9D">
            <w:pPr>
              <w:rPr>
                <w:sz w:val="22"/>
                <w:szCs w:val="22"/>
              </w:rPr>
            </w:pPr>
            <w:r>
              <w:rPr>
                <w:sz w:val="22"/>
                <w:szCs w:val="22"/>
              </w:rPr>
              <w:t>Relations between mass transfer coefficients, Reynolds analogy.</w:t>
            </w:r>
          </w:p>
          <w:p w:rsidR="00350EBC" w:rsidRDefault="00536A9D">
            <w:pPr>
              <w:pBdr>
                <w:top w:val="nil"/>
                <w:left w:val="nil"/>
                <w:bottom w:val="nil"/>
                <w:right w:val="nil"/>
                <w:between w:val="nil"/>
              </w:pBdr>
              <w:rPr>
                <w:color w:val="000000"/>
                <w:sz w:val="22"/>
                <w:szCs w:val="22"/>
              </w:rPr>
            </w:pPr>
            <w:r>
              <w:rPr>
                <w:color w:val="000000"/>
                <w:sz w:val="22"/>
                <w:szCs w:val="22"/>
              </w:rPr>
              <w:t>Equilibrium, diffusion between phases, material balances, stages.</w:t>
            </w:r>
          </w:p>
        </w:tc>
        <w:tc>
          <w:tcPr>
            <w:tcW w:w="1701" w:type="dxa"/>
            <w:tcBorders>
              <w:top w:val="single" w:sz="6" w:space="0" w:color="000000"/>
              <w:left w:val="single" w:sz="6" w:space="0" w:color="000000"/>
              <w:bottom w:val="single" w:sz="6" w:space="0" w:color="000000"/>
              <w:right w:val="single" w:sz="6" w:space="0" w:color="000000"/>
            </w:tcBorders>
            <w:vAlign w:val="center"/>
          </w:tcPr>
          <w:p w:rsidR="00350EBC" w:rsidRDefault="00536A9D">
            <w:pPr>
              <w:jc w:val="center"/>
              <w:rPr>
                <w:sz w:val="22"/>
                <w:szCs w:val="22"/>
              </w:rPr>
            </w:pPr>
            <w:r>
              <w:rPr>
                <w:sz w:val="22"/>
                <w:szCs w:val="22"/>
              </w:rPr>
              <w:t xml:space="preserve"> </w:t>
            </w:r>
          </w:p>
          <w:p w:rsidR="00350EBC" w:rsidRDefault="00536A9D">
            <w:pPr>
              <w:jc w:val="center"/>
              <w:rPr>
                <w:sz w:val="22"/>
                <w:szCs w:val="22"/>
              </w:rPr>
            </w:pPr>
            <w:r>
              <w:rPr>
                <w:sz w:val="22"/>
                <w:szCs w:val="22"/>
              </w:rPr>
              <w:t>Ch. 3, 5 T1</w:t>
            </w:r>
          </w:p>
          <w:p w:rsidR="00350EBC" w:rsidRDefault="00536A9D">
            <w:pPr>
              <w:pBdr>
                <w:top w:val="nil"/>
                <w:left w:val="nil"/>
                <w:bottom w:val="nil"/>
                <w:right w:val="nil"/>
                <w:between w:val="nil"/>
              </w:pBdr>
              <w:jc w:val="center"/>
              <w:rPr>
                <w:color w:val="000000"/>
                <w:sz w:val="22"/>
                <w:szCs w:val="22"/>
              </w:rPr>
            </w:pPr>
            <w:r>
              <w:rPr>
                <w:color w:val="000000"/>
                <w:sz w:val="22"/>
                <w:szCs w:val="22"/>
              </w:rPr>
              <w:t>Ch. 3 T2</w:t>
            </w:r>
          </w:p>
        </w:tc>
      </w:tr>
      <w:tr w:rsidR="00350EBC">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jc w:val="center"/>
              <w:rPr>
                <w:color w:val="000000"/>
                <w:sz w:val="22"/>
                <w:szCs w:val="22"/>
              </w:rPr>
            </w:pPr>
            <w:r>
              <w:rPr>
                <w:color w:val="000000"/>
                <w:sz w:val="22"/>
                <w:szCs w:val="22"/>
              </w:rPr>
              <w:t>15-22</w:t>
            </w:r>
          </w:p>
        </w:tc>
        <w:tc>
          <w:tcPr>
            <w:tcW w:w="1984" w:type="dxa"/>
            <w:tcBorders>
              <w:top w:val="single" w:sz="6" w:space="0" w:color="000000"/>
              <w:left w:val="single" w:sz="6" w:space="0" w:color="000000"/>
              <w:bottom w:val="single" w:sz="6" w:space="0" w:color="000000"/>
              <w:right w:val="single" w:sz="6" w:space="0" w:color="000000"/>
            </w:tcBorders>
            <w:vAlign w:val="center"/>
          </w:tcPr>
          <w:p w:rsidR="00350EBC" w:rsidRDefault="00536A9D">
            <w:pPr>
              <w:rPr>
                <w:sz w:val="22"/>
                <w:szCs w:val="22"/>
              </w:rPr>
            </w:pPr>
            <w:r>
              <w:rPr>
                <w:sz w:val="22"/>
                <w:szCs w:val="22"/>
              </w:rPr>
              <w:t>Gas absorption</w:t>
            </w:r>
          </w:p>
          <w:p w:rsidR="00350EBC" w:rsidRDefault="00536A9D">
            <w:pPr>
              <w:pBdr>
                <w:top w:val="nil"/>
                <w:left w:val="nil"/>
                <w:bottom w:val="nil"/>
                <w:right w:val="nil"/>
                <w:between w:val="nil"/>
              </w:pBdr>
              <w:rPr>
                <w:color w:val="000000"/>
                <w:sz w:val="22"/>
                <w:szCs w:val="22"/>
              </w:rPr>
            </w:pPr>
            <w:r>
              <w:rPr>
                <w:color w:val="000000"/>
                <w:sz w:val="22"/>
                <w:szCs w:val="22"/>
              </w:rPr>
              <w:t>(Equipment for absorption)</w:t>
            </w:r>
          </w:p>
        </w:tc>
        <w:tc>
          <w:tcPr>
            <w:tcW w:w="609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Equilibrium solubility of gases in liquids, one component transfer: material balance for counter – and co-current processes, multi stage operations, non-isothermal operations, calculation of height of packed absorber/</w:t>
            </w:r>
            <w:proofErr w:type="spellStart"/>
            <w:r>
              <w:rPr>
                <w:color w:val="000000"/>
                <w:sz w:val="22"/>
                <w:szCs w:val="22"/>
              </w:rPr>
              <w:t>desorber</w:t>
            </w:r>
            <w:proofErr w:type="spellEnd"/>
            <w:r>
              <w:rPr>
                <w:color w:val="000000"/>
                <w:sz w:val="22"/>
                <w:szCs w:val="22"/>
              </w:rPr>
              <w:t>, multi-component systems, absorption with chemical reaction.</w:t>
            </w:r>
          </w:p>
        </w:tc>
        <w:tc>
          <w:tcPr>
            <w:tcW w:w="1701" w:type="dxa"/>
            <w:tcBorders>
              <w:top w:val="single" w:sz="6" w:space="0" w:color="000000"/>
              <w:left w:val="single" w:sz="6" w:space="0" w:color="000000"/>
              <w:bottom w:val="single" w:sz="6" w:space="0" w:color="000000"/>
              <w:right w:val="single" w:sz="6" w:space="0" w:color="000000"/>
            </w:tcBorders>
            <w:vAlign w:val="center"/>
          </w:tcPr>
          <w:p w:rsidR="00350EBC" w:rsidRDefault="00536A9D">
            <w:pPr>
              <w:jc w:val="center"/>
              <w:rPr>
                <w:sz w:val="22"/>
                <w:szCs w:val="22"/>
              </w:rPr>
            </w:pPr>
            <w:r>
              <w:rPr>
                <w:sz w:val="22"/>
                <w:szCs w:val="22"/>
              </w:rPr>
              <w:t>Ch. 6T1</w:t>
            </w:r>
          </w:p>
          <w:p w:rsidR="00350EBC" w:rsidRDefault="00350EBC">
            <w:pPr>
              <w:jc w:val="center"/>
              <w:rPr>
                <w:sz w:val="22"/>
                <w:szCs w:val="22"/>
              </w:rPr>
            </w:pPr>
          </w:p>
          <w:p w:rsidR="00350EBC" w:rsidRDefault="00350EBC">
            <w:pPr>
              <w:jc w:val="center"/>
              <w:rPr>
                <w:sz w:val="22"/>
                <w:szCs w:val="22"/>
              </w:rPr>
            </w:pPr>
          </w:p>
          <w:p w:rsidR="00350EBC" w:rsidRDefault="00350EBC">
            <w:pPr>
              <w:jc w:val="center"/>
              <w:rPr>
                <w:sz w:val="22"/>
                <w:szCs w:val="22"/>
              </w:rPr>
            </w:pPr>
          </w:p>
          <w:p w:rsidR="00350EBC" w:rsidRDefault="00350EBC">
            <w:pPr>
              <w:pBdr>
                <w:top w:val="nil"/>
                <w:left w:val="nil"/>
                <w:bottom w:val="nil"/>
                <w:right w:val="nil"/>
                <w:between w:val="nil"/>
              </w:pBdr>
              <w:jc w:val="center"/>
              <w:rPr>
                <w:color w:val="000000"/>
                <w:sz w:val="22"/>
                <w:szCs w:val="22"/>
              </w:rPr>
            </w:pPr>
          </w:p>
        </w:tc>
      </w:tr>
      <w:tr w:rsidR="00350EBC">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jc w:val="center"/>
              <w:rPr>
                <w:color w:val="000000"/>
                <w:sz w:val="22"/>
                <w:szCs w:val="22"/>
              </w:rPr>
            </w:pPr>
            <w:r>
              <w:rPr>
                <w:color w:val="000000"/>
                <w:sz w:val="22"/>
                <w:szCs w:val="22"/>
              </w:rPr>
              <w:lastRenderedPageBreak/>
              <w:t>23-35</w:t>
            </w:r>
          </w:p>
        </w:tc>
        <w:tc>
          <w:tcPr>
            <w:tcW w:w="1984" w:type="dxa"/>
            <w:tcBorders>
              <w:top w:val="single" w:sz="6" w:space="0" w:color="000000"/>
              <w:left w:val="single" w:sz="6" w:space="0" w:color="000000"/>
              <w:bottom w:val="single" w:sz="6" w:space="0" w:color="000000"/>
              <w:right w:val="single" w:sz="6" w:space="0" w:color="000000"/>
            </w:tcBorders>
            <w:vAlign w:val="center"/>
          </w:tcPr>
          <w:p w:rsidR="00350EBC" w:rsidRDefault="00536A9D">
            <w:pPr>
              <w:rPr>
                <w:sz w:val="22"/>
                <w:szCs w:val="22"/>
              </w:rPr>
            </w:pPr>
            <w:r>
              <w:rPr>
                <w:sz w:val="22"/>
                <w:szCs w:val="22"/>
              </w:rPr>
              <w:t>Distillation</w:t>
            </w:r>
          </w:p>
          <w:p w:rsidR="00350EBC" w:rsidRDefault="00536A9D">
            <w:pPr>
              <w:pBdr>
                <w:top w:val="nil"/>
                <w:left w:val="nil"/>
                <w:bottom w:val="nil"/>
                <w:right w:val="nil"/>
                <w:between w:val="nil"/>
              </w:pBdr>
              <w:rPr>
                <w:color w:val="000000"/>
                <w:sz w:val="22"/>
                <w:szCs w:val="22"/>
              </w:rPr>
            </w:pPr>
            <w:r>
              <w:rPr>
                <w:color w:val="000000"/>
                <w:sz w:val="22"/>
                <w:szCs w:val="22"/>
              </w:rPr>
              <w:t>(Equipment for distillation)</w:t>
            </w:r>
          </w:p>
        </w:tc>
        <w:tc>
          <w:tcPr>
            <w:tcW w:w="609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 xml:space="preserve">Vapor-liquid equilibrium, flash vaporization, differential distillation, Continuous distillation, multistage columns, overall mass and enthalpy balances, McCabe-Thiele method, </w:t>
            </w:r>
            <w:proofErr w:type="spellStart"/>
            <w:r>
              <w:rPr>
                <w:color w:val="000000"/>
                <w:sz w:val="22"/>
                <w:szCs w:val="22"/>
              </w:rPr>
              <w:t>Ponchon-Savarit</w:t>
            </w:r>
            <w:proofErr w:type="spellEnd"/>
            <w:r>
              <w:rPr>
                <w:color w:val="000000"/>
                <w:sz w:val="22"/>
                <w:szCs w:val="22"/>
              </w:rPr>
              <w:t xml:space="preserve"> method, use of open steam, multiple feed, side streams, </w:t>
            </w:r>
            <w:proofErr w:type="spellStart"/>
            <w:r>
              <w:rPr>
                <w:color w:val="000000"/>
                <w:sz w:val="22"/>
                <w:szCs w:val="22"/>
              </w:rPr>
              <w:t>azeotropic</w:t>
            </w:r>
            <w:proofErr w:type="spellEnd"/>
            <w:r>
              <w:rPr>
                <w:color w:val="000000"/>
                <w:sz w:val="22"/>
                <w:szCs w:val="22"/>
              </w:rPr>
              <w:t xml:space="preserve"> and extractive distillations.</w:t>
            </w:r>
          </w:p>
        </w:tc>
        <w:tc>
          <w:tcPr>
            <w:tcW w:w="1701" w:type="dxa"/>
            <w:tcBorders>
              <w:top w:val="single" w:sz="6" w:space="0" w:color="000000"/>
              <w:left w:val="single" w:sz="6" w:space="0" w:color="000000"/>
              <w:bottom w:val="single" w:sz="6" w:space="0" w:color="000000"/>
              <w:right w:val="single" w:sz="6" w:space="0" w:color="000000"/>
            </w:tcBorders>
            <w:vAlign w:val="center"/>
          </w:tcPr>
          <w:p w:rsidR="00350EBC" w:rsidRDefault="00536A9D">
            <w:pPr>
              <w:jc w:val="center"/>
              <w:rPr>
                <w:sz w:val="22"/>
                <w:szCs w:val="22"/>
              </w:rPr>
            </w:pPr>
            <w:r>
              <w:rPr>
                <w:sz w:val="22"/>
                <w:szCs w:val="22"/>
              </w:rPr>
              <w:t>Ch. 9 T1</w:t>
            </w:r>
          </w:p>
          <w:p w:rsidR="00350EBC" w:rsidRDefault="00536A9D">
            <w:pPr>
              <w:jc w:val="center"/>
              <w:rPr>
                <w:sz w:val="22"/>
                <w:szCs w:val="22"/>
              </w:rPr>
            </w:pPr>
            <w:r>
              <w:rPr>
                <w:sz w:val="22"/>
                <w:szCs w:val="22"/>
              </w:rPr>
              <w:t>Ch. 7 T2</w:t>
            </w:r>
          </w:p>
          <w:p w:rsidR="00350EBC" w:rsidRDefault="00350EBC">
            <w:pPr>
              <w:jc w:val="center"/>
              <w:rPr>
                <w:sz w:val="22"/>
                <w:szCs w:val="22"/>
              </w:rPr>
            </w:pPr>
          </w:p>
          <w:p w:rsidR="00350EBC" w:rsidRDefault="00350EBC">
            <w:pPr>
              <w:pBdr>
                <w:top w:val="nil"/>
                <w:left w:val="nil"/>
                <w:bottom w:val="nil"/>
                <w:right w:val="nil"/>
                <w:between w:val="nil"/>
              </w:pBdr>
              <w:jc w:val="center"/>
              <w:rPr>
                <w:color w:val="000000"/>
                <w:sz w:val="22"/>
                <w:szCs w:val="22"/>
              </w:rPr>
            </w:pPr>
          </w:p>
        </w:tc>
      </w:tr>
      <w:tr w:rsidR="00350EBC">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jc w:val="center"/>
              <w:rPr>
                <w:color w:val="000000"/>
                <w:sz w:val="22"/>
                <w:szCs w:val="22"/>
              </w:rPr>
            </w:pPr>
            <w:r>
              <w:rPr>
                <w:color w:val="000000"/>
                <w:sz w:val="22"/>
                <w:szCs w:val="22"/>
              </w:rPr>
              <w:t>36-39</w:t>
            </w:r>
          </w:p>
        </w:tc>
        <w:tc>
          <w:tcPr>
            <w:tcW w:w="1984" w:type="dxa"/>
            <w:tcBorders>
              <w:top w:val="single" w:sz="6" w:space="0" w:color="000000"/>
              <w:left w:val="single" w:sz="6" w:space="0" w:color="000000"/>
              <w:bottom w:val="single" w:sz="6" w:space="0" w:color="000000"/>
              <w:right w:val="single" w:sz="6" w:space="0" w:color="000000"/>
            </w:tcBorders>
            <w:vAlign w:val="center"/>
          </w:tcPr>
          <w:p w:rsidR="00350EBC" w:rsidRDefault="00536A9D">
            <w:pPr>
              <w:rPr>
                <w:sz w:val="22"/>
                <w:szCs w:val="22"/>
              </w:rPr>
            </w:pPr>
            <w:r>
              <w:rPr>
                <w:sz w:val="22"/>
                <w:szCs w:val="22"/>
              </w:rPr>
              <w:t>Liquid extraction</w:t>
            </w:r>
          </w:p>
          <w:p w:rsidR="00350EBC" w:rsidRDefault="00536A9D">
            <w:pPr>
              <w:pBdr>
                <w:top w:val="nil"/>
                <w:left w:val="nil"/>
                <w:bottom w:val="nil"/>
                <w:right w:val="nil"/>
                <w:between w:val="nil"/>
              </w:pBdr>
              <w:rPr>
                <w:color w:val="000000"/>
                <w:sz w:val="22"/>
                <w:szCs w:val="22"/>
              </w:rPr>
            </w:pPr>
            <w:r>
              <w:rPr>
                <w:color w:val="000000"/>
                <w:sz w:val="22"/>
                <w:szCs w:val="22"/>
              </w:rPr>
              <w:t>(Equipment for extraction)</w:t>
            </w:r>
          </w:p>
        </w:tc>
        <w:tc>
          <w:tcPr>
            <w:tcW w:w="609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Liquid-liquid equilibrium, distribution curves, triangular and solvent free coordinates, systems of three liquids-one pair partially soluble, insoluble liquids, effect of temperature, continuous counter-current multi-stage extraction, continuous counter-current extraction with reflux.</w:t>
            </w:r>
          </w:p>
        </w:tc>
        <w:tc>
          <w:tcPr>
            <w:tcW w:w="1701" w:type="dxa"/>
            <w:tcBorders>
              <w:top w:val="single" w:sz="6" w:space="0" w:color="000000"/>
              <w:left w:val="single" w:sz="6" w:space="0" w:color="000000"/>
              <w:bottom w:val="single" w:sz="6" w:space="0" w:color="000000"/>
              <w:right w:val="single" w:sz="6" w:space="0" w:color="000000"/>
            </w:tcBorders>
            <w:vAlign w:val="center"/>
          </w:tcPr>
          <w:p w:rsidR="00350EBC" w:rsidRDefault="00536A9D">
            <w:pPr>
              <w:jc w:val="center"/>
              <w:rPr>
                <w:sz w:val="22"/>
                <w:szCs w:val="22"/>
              </w:rPr>
            </w:pPr>
            <w:r>
              <w:rPr>
                <w:sz w:val="22"/>
                <w:szCs w:val="22"/>
              </w:rPr>
              <w:t>Ch. 10, T1</w:t>
            </w:r>
          </w:p>
          <w:p w:rsidR="00350EBC" w:rsidRDefault="00350EBC">
            <w:pPr>
              <w:jc w:val="center"/>
              <w:rPr>
                <w:sz w:val="22"/>
                <w:szCs w:val="22"/>
              </w:rPr>
            </w:pPr>
          </w:p>
          <w:p w:rsidR="00350EBC" w:rsidRDefault="00350EBC">
            <w:pPr>
              <w:pBdr>
                <w:top w:val="nil"/>
                <w:left w:val="nil"/>
                <w:bottom w:val="nil"/>
                <w:right w:val="nil"/>
                <w:between w:val="nil"/>
              </w:pBdr>
              <w:jc w:val="center"/>
              <w:rPr>
                <w:color w:val="000000"/>
                <w:sz w:val="22"/>
                <w:szCs w:val="22"/>
              </w:rPr>
            </w:pPr>
          </w:p>
        </w:tc>
      </w:tr>
      <w:tr w:rsidR="00350EBC">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jc w:val="center"/>
              <w:rPr>
                <w:color w:val="000000"/>
                <w:sz w:val="22"/>
                <w:szCs w:val="22"/>
                <w:highlight w:val="yellow"/>
              </w:rPr>
            </w:pPr>
            <w:r>
              <w:rPr>
                <w:color w:val="000000"/>
                <w:sz w:val="22"/>
                <w:szCs w:val="22"/>
              </w:rPr>
              <w:t>40-42</w:t>
            </w:r>
          </w:p>
        </w:tc>
        <w:tc>
          <w:tcPr>
            <w:tcW w:w="1984"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rPr>
                <w:color w:val="000000"/>
                <w:sz w:val="22"/>
                <w:szCs w:val="22"/>
                <w:highlight w:val="yellow"/>
              </w:rPr>
            </w:pPr>
            <w:r>
              <w:rPr>
                <w:color w:val="000000"/>
                <w:sz w:val="22"/>
                <w:szCs w:val="22"/>
              </w:rPr>
              <w:t>Leaching (Equipment for leaching)</w:t>
            </w:r>
          </w:p>
        </w:tc>
        <w:tc>
          <w:tcPr>
            <w:tcW w:w="6095" w:type="dxa"/>
            <w:tcBorders>
              <w:top w:val="single" w:sz="6" w:space="0" w:color="000000"/>
              <w:left w:val="single" w:sz="6" w:space="0" w:color="000000"/>
              <w:bottom w:val="single" w:sz="6" w:space="0" w:color="000000"/>
              <w:right w:val="single" w:sz="6" w:space="0" w:color="000000"/>
            </w:tcBorders>
            <w:vAlign w:val="center"/>
          </w:tcPr>
          <w:p w:rsidR="00350EBC" w:rsidRDefault="00536A9D">
            <w:pPr>
              <w:pBdr>
                <w:top w:val="nil"/>
                <w:left w:val="nil"/>
                <w:bottom w:val="nil"/>
                <w:right w:val="nil"/>
                <w:between w:val="nil"/>
              </w:pBdr>
              <w:rPr>
                <w:color w:val="000000"/>
                <w:sz w:val="22"/>
                <w:szCs w:val="22"/>
                <w:highlight w:val="yellow"/>
              </w:rPr>
            </w:pPr>
            <w:r>
              <w:rPr>
                <w:color w:val="000000"/>
                <w:sz w:val="22"/>
                <w:szCs w:val="22"/>
              </w:rPr>
              <w:t>Solid-liquid extraction, underflow and overflow locus, Multistage cross current extraction, Calculation of no. of stages for cross current flow.</w:t>
            </w:r>
          </w:p>
        </w:tc>
        <w:tc>
          <w:tcPr>
            <w:tcW w:w="1701" w:type="dxa"/>
            <w:tcBorders>
              <w:top w:val="single" w:sz="6" w:space="0" w:color="000000"/>
              <w:left w:val="single" w:sz="6" w:space="0" w:color="000000"/>
              <w:bottom w:val="single" w:sz="6" w:space="0" w:color="000000"/>
              <w:right w:val="single" w:sz="6" w:space="0" w:color="000000"/>
            </w:tcBorders>
            <w:vAlign w:val="center"/>
          </w:tcPr>
          <w:p w:rsidR="00350EBC" w:rsidRDefault="00536A9D">
            <w:pPr>
              <w:jc w:val="center"/>
              <w:rPr>
                <w:sz w:val="22"/>
                <w:szCs w:val="22"/>
              </w:rPr>
            </w:pPr>
            <w:r>
              <w:rPr>
                <w:sz w:val="22"/>
                <w:szCs w:val="22"/>
              </w:rPr>
              <w:t>Ch.13, T1</w:t>
            </w:r>
          </w:p>
          <w:p w:rsidR="00350EBC" w:rsidRDefault="00350EBC">
            <w:pPr>
              <w:jc w:val="center"/>
              <w:rPr>
                <w:sz w:val="22"/>
                <w:szCs w:val="22"/>
              </w:rPr>
            </w:pPr>
          </w:p>
          <w:p w:rsidR="00350EBC" w:rsidRDefault="00350EBC">
            <w:pPr>
              <w:pBdr>
                <w:top w:val="nil"/>
                <w:left w:val="nil"/>
                <w:bottom w:val="nil"/>
                <w:right w:val="nil"/>
                <w:between w:val="nil"/>
              </w:pBdr>
              <w:jc w:val="center"/>
              <w:rPr>
                <w:color w:val="000000"/>
                <w:sz w:val="22"/>
                <w:szCs w:val="22"/>
                <w:highlight w:val="yellow"/>
              </w:rPr>
            </w:pPr>
          </w:p>
        </w:tc>
      </w:tr>
    </w:tbl>
    <w:p w:rsidR="00350EBC" w:rsidRDefault="00350EBC">
      <w:pPr>
        <w:jc w:val="both"/>
      </w:pPr>
    </w:p>
    <w:p w:rsidR="00350EBC" w:rsidRDefault="00536A9D">
      <w:pPr>
        <w:jc w:val="both"/>
        <w:rPr>
          <w:b/>
          <w:sz w:val="22"/>
          <w:szCs w:val="22"/>
        </w:rPr>
      </w:pPr>
      <w:r>
        <w:rPr>
          <w:b/>
          <w:sz w:val="22"/>
          <w:szCs w:val="22"/>
        </w:rPr>
        <w:t>Evaluation Scheme:</w:t>
      </w:r>
    </w:p>
    <w:tbl>
      <w:tblPr>
        <w:tblStyle w:val="a0"/>
        <w:tblW w:w="978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63"/>
        <w:gridCol w:w="1843"/>
        <w:gridCol w:w="1238"/>
        <w:gridCol w:w="1890"/>
        <w:gridCol w:w="2550"/>
      </w:tblGrid>
      <w:tr w:rsidR="00350EBC">
        <w:trPr>
          <w:trHeight w:val="422"/>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50EBC" w:rsidRDefault="00536A9D">
            <w:pPr>
              <w:jc w:val="center"/>
              <w:rPr>
                <w:b/>
                <w:sz w:val="22"/>
                <w:szCs w:val="22"/>
              </w:rPr>
            </w:pPr>
            <w:r>
              <w:rPr>
                <w:b/>
                <w:sz w:val="22"/>
                <w:szCs w:val="22"/>
              </w:rPr>
              <w:t>Component</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50EBC" w:rsidRDefault="00536A9D">
            <w:pPr>
              <w:jc w:val="center"/>
              <w:rPr>
                <w:b/>
                <w:sz w:val="22"/>
                <w:szCs w:val="22"/>
              </w:rPr>
            </w:pPr>
            <w:r>
              <w:rPr>
                <w:b/>
                <w:sz w:val="22"/>
                <w:szCs w:val="22"/>
              </w:rPr>
              <w:t>Duration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50EBC" w:rsidRDefault="00536A9D">
            <w:pPr>
              <w:jc w:val="center"/>
              <w:rPr>
                <w:b/>
                <w:sz w:val="22"/>
                <w:szCs w:val="22"/>
              </w:rPr>
            </w:pPr>
            <w:r>
              <w:rPr>
                <w:b/>
                <w:sz w:val="22"/>
                <w:szCs w:val="22"/>
              </w:rPr>
              <w:t>Weightage (%)</w:t>
            </w:r>
          </w:p>
        </w:tc>
        <w:tc>
          <w:tcPr>
            <w:tcW w:w="189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50EBC" w:rsidRDefault="00536A9D">
            <w:pPr>
              <w:jc w:val="center"/>
              <w:rPr>
                <w:b/>
                <w:sz w:val="22"/>
                <w:szCs w:val="22"/>
              </w:rPr>
            </w:pPr>
            <w:r>
              <w:rPr>
                <w:b/>
                <w:sz w:val="22"/>
                <w:szCs w:val="22"/>
              </w:rPr>
              <w:t>Date &amp; Time</w:t>
            </w:r>
          </w:p>
        </w:tc>
        <w:tc>
          <w:tcPr>
            <w:tcW w:w="25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50EBC" w:rsidRDefault="00536A9D">
            <w:pPr>
              <w:jc w:val="center"/>
              <w:rPr>
                <w:b/>
                <w:sz w:val="22"/>
                <w:szCs w:val="22"/>
              </w:rPr>
            </w:pPr>
            <w:r>
              <w:rPr>
                <w:b/>
                <w:sz w:val="22"/>
                <w:szCs w:val="22"/>
              </w:rPr>
              <w:t>Nature of Component</w:t>
            </w:r>
          </w:p>
        </w:tc>
      </w:tr>
      <w:tr w:rsidR="00350EBC">
        <w:trPr>
          <w:trHeight w:val="199"/>
          <w:jc w:val="center"/>
        </w:trPr>
        <w:tc>
          <w:tcPr>
            <w:tcW w:w="2263" w:type="dxa"/>
            <w:tcBorders>
              <w:top w:val="single" w:sz="4" w:space="0" w:color="000000"/>
              <w:left w:val="single" w:sz="4" w:space="0" w:color="000000"/>
              <w:bottom w:val="single" w:sz="4" w:space="0" w:color="000000"/>
              <w:right w:val="single" w:sz="4"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Assignments (2)</w:t>
            </w:r>
          </w:p>
        </w:tc>
        <w:tc>
          <w:tcPr>
            <w:tcW w:w="1843"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(Will be discussed in Tutorial Sessions)</w:t>
            </w:r>
          </w:p>
        </w:tc>
        <w:tc>
          <w:tcPr>
            <w:tcW w:w="1238"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15</w:t>
            </w:r>
          </w:p>
        </w:tc>
        <w:tc>
          <w:tcPr>
            <w:tcW w:w="1890"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TBA</w:t>
            </w:r>
          </w:p>
        </w:tc>
        <w:tc>
          <w:tcPr>
            <w:tcW w:w="2550"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Open Book</w:t>
            </w:r>
          </w:p>
        </w:tc>
      </w:tr>
      <w:tr w:rsidR="00350EBC">
        <w:trPr>
          <w:trHeight w:val="199"/>
          <w:jc w:val="center"/>
        </w:trPr>
        <w:tc>
          <w:tcPr>
            <w:tcW w:w="2263" w:type="dxa"/>
            <w:tcBorders>
              <w:top w:val="single" w:sz="4" w:space="0" w:color="000000"/>
              <w:left w:val="single" w:sz="4" w:space="0" w:color="000000"/>
              <w:bottom w:val="single" w:sz="4" w:space="0" w:color="000000"/>
              <w:right w:val="single" w:sz="4"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Quiz (3)</w:t>
            </w:r>
          </w:p>
        </w:tc>
        <w:tc>
          <w:tcPr>
            <w:tcW w:w="1843"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In regular lectures &amp; tutorials</w:t>
            </w:r>
          </w:p>
        </w:tc>
        <w:tc>
          <w:tcPr>
            <w:tcW w:w="1238"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15</w:t>
            </w:r>
          </w:p>
        </w:tc>
        <w:tc>
          <w:tcPr>
            <w:tcW w:w="1890"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TBA</w:t>
            </w:r>
          </w:p>
        </w:tc>
        <w:tc>
          <w:tcPr>
            <w:tcW w:w="2550"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Open Book</w:t>
            </w:r>
          </w:p>
        </w:tc>
      </w:tr>
      <w:tr w:rsidR="00350EBC">
        <w:trPr>
          <w:trHeight w:val="328"/>
          <w:jc w:val="center"/>
        </w:trPr>
        <w:tc>
          <w:tcPr>
            <w:tcW w:w="2263" w:type="dxa"/>
            <w:tcBorders>
              <w:top w:val="single" w:sz="4" w:space="0" w:color="000000"/>
              <w:left w:val="single" w:sz="4" w:space="0" w:color="000000"/>
              <w:bottom w:val="single" w:sz="4" w:space="0" w:color="000000"/>
              <w:right w:val="single" w:sz="4" w:space="0" w:color="000000"/>
            </w:tcBorders>
            <w:vAlign w:val="center"/>
          </w:tcPr>
          <w:p w:rsidR="00350EBC" w:rsidRDefault="00536A9D">
            <w:pPr>
              <w:pBdr>
                <w:top w:val="nil"/>
                <w:left w:val="nil"/>
                <w:bottom w:val="nil"/>
                <w:right w:val="nil"/>
                <w:between w:val="nil"/>
              </w:pBdr>
              <w:rPr>
                <w:rFonts w:ascii="Arial" w:eastAsia="Arial" w:hAnsi="Arial" w:cs="Arial"/>
                <w:color w:val="000000"/>
                <w:sz w:val="22"/>
                <w:szCs w:val="22"/>
              </w:rPr>
            </w:pPr>
            <w:r>
              <w:rPr>
                <w:color w:val="000000"/>
                <w:sz w:val="22"/>
                <w:szCs w:val="22"/>
              </w:rPr>
              <w:t>MID</w:t>
            </w:r>
          </w:p>
        </w:tc>
        <w:tc>
          <w:tcPr>
            <w:tcW w:w="1843"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rFonts w:ascii="Arial" w:eastAsia="Arial" w:hAnsi="Arial" w:cs="Arial"/>
                <w:color w:val="000000"/>
                <w:sz w:val="22"/>
                <w:szCs w:val="22"/>
              </w:rPr>
            </w:pPr>
            <w:r>
              <w:rPr>
                <w:color w:val="000000"/>
                <w:sz w:val="22"/>
                <w:szCs w:val="22"/>
              </w:rPr>
              <w:t>1.5 h</w:t>
            </w:r>
          </w:p>
        </w:tc>
        <w:tc>
          <w:tcPr>
            <w:tcW w:w="1238"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rFonts w:ascii="Arial" w:eastAsia="Arial" w:hAnsi="Arial" w:cs="Arial"/>
                <w:color w:val="000000"/>
                <w:sz w:val="22"/>
                <w:szCs w:val="22"/>
              </w:rPr>
            </w:pPr>
            <w:r>
              <w:rPr>
                <w:color w:val="000000"/>
                <w:sz w:val="22"/>
                <w:szCs w:val="22"/>
              </w:rPr>
              <w:t>30</w:t>
            </w:r>
          </w:p>
        </w:tc>
        <w:tc>
          <w:tcPr>
            <w:tcW w:w="1890" w:type="dxa"/>
            <w:tcBorders>
              <w:top w:val="single" w:sz="4" w:space="0" w:color="000000"/>
              <w:left w:val="single" w:sz="4" w:space="0" w:color="000000"/>
              <w:bottom w:val="single" w:sz="4" w:space="0" w:color="000000"/>
              <w:right w:val="single" w:sz="4" w:space="0" w:color="000000"/>
            </w:tcBorders>
          </w:tcPr>
          <w:p w:rsidR="00350EBC" w:rsidRDefault="0078468F">
            <w:pPr>
              <w:pBdr>
                <w:top w:val="nil"/>
                <w:left w:val="nil"/>
                <w:bottom w:val="nil"/>
                <w:right w:val="nil"/>
                <w:between w:val="nil"/>
              </w:pBdr>
              <w:jc w:val="center"/>
              <w:rPr>
                <w:rFonts w:ascii="Arial" w:eastAsia="Arial" w:hAnsi="Arial" w:cs="Arial"/>
                <w:color w:val="000000"/>
                <w:sz w:val="22"/>
                <w:szCs w:val="22"/>
              </w:rPr>
            </w:pPr>
            <w:r>
              <w:t>10/03 9.00am to10.30am</w:t>
            </w:r>
          </w:p>
        </w:tc>
        <w:tc>
          <w:tcPr>
            <w:tcW w:w="2550" w:type="dxa"/>
            <w:tcBorders>
              <w:top w:val="single" w:sz="4" w:space="0" w:color="000000"/>
              <w:left w:val="single" w:sz="4" w:space="0" w:color="000000"/>
              <w:bottom w:val="single" w:sz="4" w:space="0" w:color="000000"/>
              <w:right w:val="single" w:sz="4" w:space="0" w:color="000000"/>
            </w:tcBorders>
          </w:tcPr>
          <w:p w:rsidR="00350EBC" w:rsidRDefault="00536A9D" w:rsidP="007F3E6E">
            <w:pPr>
              <w:pBdr>
                <w:top w:val="nil"/>
                <w:left w:val="nil"/>
                <w:bottom w:val="nil"/>
                <w:right w:val="nil"/>
                <w:between w:val="nil"/>
              </w:pBdr>
              <w:jc w:val="center"/>
              <w:rPr>
                <w:rFonts w:ascii="Arial" w:eastAsia="Arial" w:hAnsi="Arial" w:cs="Arial"/>
                <w:color w:val="000000"/>
                <w:sz w:val="22"/>
                <w:szCs w:val="22"/>
              </w:rPr>
            </w:pPr>
            <w:r>
              <w:rPr>
                <w:color w:val="000000"/>
                <w:sz w:val="22"/>
                <w:szCs w:val="22"/>
              </w:rPr>
              <w:t>Open Book</w:t>
            </w:r>
            <w:r w:rsidR="007F3E6E">
              <w:rPr>
                <w:color w:val="000000"/>
                <w:sz w:val="22"/>
                <w:szCs w:val="22"/>
              </w:rPr>
              <w:t xml:space="preserve"> </w:t>
            </w:r>
          </w:p>
        </w:tc>
      </w:tr>
      <w:tr w:rsidR="00350EBC">
        <w:trPr>
          <w:trHeight w:val="530"/>
          <w:jc w:val="center"/>
        </w:trPr>
        <w:tc>
          <w:tcPr>
            <w:tcW w:w="2263" w:type="dxa"/>
            <w:tcBorders>
              <w:top w:val="single" w:sz="4" w:space="0" w:color="000000"/>
              <w:left w:val="single" w:sz="4" w:space="0" w:color="000000"/>
              <w:bottom w:val="single" w:sz="4" w:space="0" w:color="000000"/>
              <w:right w:val="single" w:sz="4" w:space="0" w:color="000000"/>
            </w:tcBorders>
            <w:vAlign w:val="center"/>
          </w:tcPr>
          <w:p w:rsidR="00350EBC" w:rsidRDefault="00536A9D">
            <w:pPr>
              <w:pBdr>
                <w:top w:val="nil"/>
                <w:left w:val="nil"/>
                <w:bottom w:val="nil"/>
                <w:right w:val="nil"/>
                <w:between w:val="nil"/>
              </w:pBdr>
              <w:rPr>
                <w:color w:val="000000"/>
                <w:sz w:val="22"/>
                <w:szCs w:val="22"/>
              </w:rPr>
            </w:pPr>
            <w:r>
              <w:rPr>
                <w:color w:val="000000"/>
                <w:sz w:val="22"/>
                <w:szCs w:val="22"/>
              </w:rPr>
              <w:t>Comprehensive Exam</w:t>
            </w:r>
          </w:p>
        </w:tc>
        <w:tc>
          <w:tcPr>
            <w:tcW w:w="1843"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2 h</w:t>
            </w:r>
          </w:p>
        </w:tc>
        <w:tc>
          <w:tcPr>
            <w:tcW w:w="1238"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40</w:t>
            </w:r>
          </w:p>
        </w:tc>
        <w:tc>
          <w:tcPr>
            <w:tcW w:w="1890" w:type="dxa"/>
            <w:tcBorders>
              <w:top w:val="single" w:sz="4" w:space="0" w:color="000000"/>
              <w:left w:val="single" w:sz="4" w:space="0" w:color="000000"/>
              <w:bottom w:val="single" w:sz="4" w:space="0" w:color="000000"/>
              <w:right w:val="single" w:sz="4" w:space="0" w:color="000000"/>
            </w:tcBorders>
          </w:tcPr>
          <w:p w:rsidR="00350EBC" w:rsidRDefault="0078468F">
            <w:pPr>
              <w:pBdr>
                <w:top w:val="nil"/>
                <w:left w:val="nil"/>
                <w:bottom w:val="nil"/>
                <w:right w:val="nil"/>
                <w:between w:val="nil"/>
              </w:pBdr>
              <w:jc w:val="center"/>
              <w:rPr>
                <w:color w:val="000000"/>
                <w:sz w:val="22"/>
                <w:szCs w:val="22"/>
              </w:rPr>
            </w:pPr>
            <w:r>
              <w:t>06/05 FN</w:t>
            </w:r>
          </w:p>
        </w:tc>
        <w:tc>
          <w:tcPr>
            <w:tcW w:w="2550" w:type="dxa"/>
            <w:tcBorders>
              <w:top w:val="single" w:sz="4" w:space="0" w:color="000000"/>
              <w:left w:val="single" w:sz="4" w:space="0" w:color="000000"/>
              <w:bottom w:val="single" w:sz="4" w:space="0" w:color="000000"/>
              <w:right w:val="single" w:sz="4" w:space="0" w:color="000000"/>
            </w:tcBorders>
          </w:tcPr>
          <w:p w:rsidR="00350EBC" w:rsidRDefault="00536A9D">
            <w:pPr>
              <w:pBdr>
                <w:top w:val="nil"/>
                <w:left w:val="nil"/>
                <w:bottom w:val="nil"/>
                <w:right w:val="nil"/>
                <w:between w:val="nil"/>
              </w:pBdr>
              <w:jc w:val="center"/>
              <w:rPr>
                <w:color w:val="000000"/>
                <w:sz w:val="22"/>
                <w:szCs w:val="22"/>
              </w:rPr>
            </w:pPr>
            <w:r>
              <w:rPr>
                <w:color w:val="000000"/>
                <w:sz w:val="22"/>
                <w:szCs w:val="22"/>
              </w:rPr>
              <w:t>Open Book</w:t>
            </w:r>
          </w:p>
        </w:tc>
      </w:tr>
    </w:tbl>
    <w:p w:rsidR="00350EBC" w:rsidRDefault="00350EBC">
      <w:pPr>
        <w:jc w:val="both"/>
        <w:rPr>
          <w:sz w:val="22"/>
          <w:szCs w:val="22"/>
        </w:rPr>
      </w:pPr>
    </w:p>
    <w:p w:rsidR="00350EBC" w:rsidRDefault="00536A9D">
      <w:pPr>
        <w:jc w:val="both"/>
        <w:rPr>
          <w:sz w:val="22"/>
          <w:szCs w:val="22"/>
        </w:rPr>
      </w:pPr>
      <w:r>
        <w:rPr>
          <w:b/>
          <w:sz w:val="22"/>
          <w:szCs w:val="22"/>
        </w:rPr>
        <w:t>Chamber Consultation Hour:</w:t>
      </w:r>
      <w:r>
        <w:rPr>
          <w:sz w:val="22"/>
          <w:szCs w:val="22"/>
        </w:rPr>
        <w:t xml:space="preserve"> At 5 PM on every Tuesday (Chamber: </w:t>
      </w:r>
      <w:r>
        <w:rPr>
          <w:b/>
          <w:sz w:val="22"/>
          <w:szCs w:val="22"/>
        </w:rPr>
        <w:t>D 204</w:t>
      </w:r>
      <w:r>
        <w:rPr>
          <w:sz w:val="22"/>
          <w:szCs w:val="22"/>
        </w:rPr>
        <w:t>).</w:t>
      </w:r>
    </w:p>
    <w:p w:rsidR="00350EBC" w:rsidRDefault="00350EBC">
      <w:pPr>
        <w:jc w:val="both"/>
        <w:rPr>
          <w:sz w:val="22"/>
          <w:szCs w:val="22"/>
        </w:rPr>
      </w:pPr>
    </w:p>
    <w:p w:rsidR="00350EBC" w:rsidRDefault="00536A9D">
      <w:pPr>
        <w:jc w:val="both"/>
        <w:rPr>
          <w:sz w:val="22"/>
          <w:szCs w:val="22"/>
        </w:rPr>
      </w:pPr>
      <w:r>
        <w:rPr>
          <w:b/>
          <w:sz w:val="22"/>
          <w:szCs w:val="22"/>
        </w:rPr>
        <w:t>Notices:</w:t>
      </w:r>
      <w:r>
        <w:rPr>
          <w:sz w:val="22"/>
          <w:szCs w:val="22"/>
        </w:rPr>
        <w:t xml:space="preserve"> Will be updated via CMS/Google Classroom/Email</w:t>
      </w:r>
    </w:p>
    <w:p w:rsidR="00350EBC" w:rsidRDefault="00350EBC">
      <w:pPr>
        <w:jc w:val="both"/>
        <w:rPr>
          <w:sz w:val="22"/>
          <w:szCs w:val="22"/>
        </w:rPr>
      </w:pPr>
    </w:p>
    <w:p w:rsidR="00350EBC" w:rsidRDefault="00536A9D">
      <w:pPr>
        <w:jc w:val="both"/>
      </w:pPr>
      <w:r>
        <w:rPr>
          <w:b/>
          <w:sz w:val="22"/>
          <w:szCs w:val="22"/>
        </w:rPr>
        <w:t xml:space="preserve">Make-up Policy: </w:t>
      </w:r>
      <w:r>
        <w:t xml:space="preserve">Make-up will be granted only for genuine cases with valid justification and only with prior permission of Instructor-in-charge. </w:t>
      </w:r>
    </w:p>
    <w:p w:rsidR="00B4111B" w:rsidRDefault="00B4111B">
      <w:pPr>
        <w:jc w:val="both"/>
      </w:pPr>
    </w:p>
    <w:p w:rsidR="00B4111B" w:rsidRPr="00E81B5D" w:rsidRDefault="00B4111B" w:rsidP="00B4111B">
      <w:pPr>
        <w:ind w:hanging="2"/>
      </w:pPr>
      <w:r w:rsidRPr="00E81B5D">
        <w:rPr>
          <w:b/>
        </w:rPr>
        <w:t>Academic Honesty and Integrity Policy</w:t>
      </w:r>
      <w:r w:rsidRPr="00E81B5D">
        <w:t>: Academic honesty and integrity are to be maintained by all the students throughout the semester and no type of academic dishonesty is acceptable.</w:t>
      </w:r>
    </w:p>
    <w:p w:rsidR="00B4111B" w:rsidRDefault="00B4111B" w:rsidP="00B4111B">
      <w:pPr>
        <w:ind w:hanging="2"/>
      </w:pPr>
    </w:p>
    <w:p w:rsidR="00B4111B" w:rsidRDefault="00B4111B">
      <w:pPr>
        <w:jc w:val="both"/>
        <w:rPr>
          <w:b/>
          <w:sz w:val="22"/>
          <w:szCs w:val="22"/>
        </w:rPr>
      </w:pPr>
      <w:bookmarkStart w:id="1" w:name="_GoBack"/>
      <w:bookmarkEnd w:id="1"/>
    </w:p>
    <w:p w:rsidR="00350EBC" w:rsidRDefault="00350EBC">
      <w:pPr>
        <w:jc w:val="right"/>
        <w:rPr>
          <w:b/>
        </w:rPr>
      </w:pPr>
    </w:p>
    <w:p w:rsidR="00350EBC" w:rsidRDefault="00536A9D">
      <w:pPr>
        <w:ind w:left="7200" w:firstLine="720"/>
        <w:rPr>
          <w:b/>
        </w:rPr>
      </w:pPr>
      <w:r>
        <w:rPr>
          <w:b/>
        </w:rPr>
        <w:t xml:space="preserve">  Dr. </w:t>
      </w:r>
      <w:proofErr w:type="spellStart"/>
      <w:r>
        <w:rPr>
          <w:b/>
        </w:rPr>
        <w:t>Satyapaul</w:t>
      </w:r>
      <w:proofErr w:type="spellEnd"/>
      <w:r>
        <w:rPr>
          <w:b/>
        </w:rPr>
        <w:t xml:space="preserve"> A. Singh</w:t>
      </w:r>
    </w:p>
    <w:p w:rsidR="00350EBC" w:rsidRDefault="00350EBC">
      <w:pPr>
        <w:jc w:val="right"/>
        <w:rPr>
          <w:b/>
        </w:rPr>
      </w:pPr>
    </w:p>
    <w:p w:rsidR="00350EBC" w:rsidRDefault="00536A9D">
      <w:pPr>
        <w:jc w:val="right"/>
        <w:rPr>
          <w:b/>
        </w:rPr>
      </w:pPr>
      <w:r>
        <w:rPr>
          <w:b/>
        </w:rPr>
        <w:t xml:space="preserve"> INSTRUCTOR-IN-CHARGE</w:t>
      </w:r>
    </w:p>
    <w:p w:rsidR="00350EBC" w:rsidRDefault="00536A9D">
      <w:pPr>
        <w:jc w:val="right"/>
        <w:rPr>
          <w:b/>
        </w:rPr>
      </w:pPr>
      <w:r>
        <w:rPr>
          <w:b/>
        </w:rPr>
        <w:t>CHE F244</w:t>
      </w:r>
      <w:r>
        <w:rPr>
          <w:b/>
        </w:rPr>
        <w:tab/>
      </w:r>
      <w:r>
        <w:rPr>
          <w:b/>
        </w:rPr>
        <w:tab/>
      </w:r>
    </w:p>
    <w:sectPr w:rsidR="00350EBC">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7A3" w:rsidRDefault="00AD17A3">
      <w:r>
        <w:separator/>
      </w:r>
    </w:p>
  </w:endnote>
  <w:endnote w:type="continuationSeparator" w:id="0">
    <w:p w:rsidR="00AD17A3" w:rsidRDefault="00AD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EBC" w:rsidRDefault="00536A9D">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7A3" w:rsidRDefault="00AD17A3">
      <w:r>
        <w:separator/>
      </w:r>
    </w:p>
  </w:footnote>
  <w:footnote w:type="continuationSeparator" w:id="0">
    <w:p w:rsidR="00AD17A3" w:rsidRDefault="00AD17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EBC" w:rsidRDefault="00350EBC">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BC"/>
    <w:rsid w:val="00350EBC"/>
    <w:rsid w:val="00536A9D"/>
    <w:rsid w:val="0078468F"/>
    <w:rsid w:val="007F3E6E"/>
    <w:rsid w:val="00AD17A3"/>
    <w:rsid w:val="00B41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37AF"/>
  <w15:docId w15:val="{0EF59D1D-AF87-417F-9BB5-2CF9C890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EB52A0"/>
    <w:pPr>
      <w:spacing w:before="100" w:beforeAutospacing="1" w:after="100" w:afterAutospacing="1"/>
    </w:pPr>
    <w:rPr>
      <w:lang w:val="en-IN"/>
    </w:rPr>
  </w:style>
  <w:style w:type="character" w:styleId="Hyperlink">
    <w:name w:val="Hyperlink"/>
    <w:basedOn w:val="DefaultParagraphFont"/>
    <w:uiPriority w:val="99"/>
    <w:semiHidden/>
    <w:unhideWhenUsed/>
    <w:rsid w:val="00317B27"/>
    <w:rPr>
      <w:color w:val="0000FF"/>
      <w:u w:val="single"/>
    </w:rPr>
  </w:style>
  <w:style w:type="paragraph" w:styleId="ListParagraph">
    <w:name w:val="List Paragraph"/>
    <w:basedOn w:val="Normal"/>
    <w:uiPriority w:val="34"/>
    <w:qFormat/>
    <w:rsid w:val="00E223E6"/>
    <w:pPr>
      <w:ind w:left="720"/>
      <w:contextualSpacing/>
    </w:pPr>
  </w:style>
  <w:style w:type="character" w:styleId="CommentReference">
    <w:name w:val="annotation reference"/>
    <w:basedOn w:val="DefaultParagraphFont"/>
    <w:uiPriority w:val="99"/>
    <w:semiHidden/>
    <w:unhideWhenUsed/>
    <w:rsid w:val="003044A7"/>
    <w:rPr>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SpEgk3aPgQel7cgB/N0gujSg==">AMUW2mUBWTGnJSPf7LgRrcw86raUvlHq2sTpr5Aha27tNSEahK9bzY5k5ZekWfWw882ZtGLiVLTmDR7LDBfH9jOQFEkHbvmFziPaQeIY/2jGniQiAdwQqTFTF3ELdZpTi878FAd2bNJD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5</cp:revision>
  <dcterms:created xsi:type="dcterms:W3CDTF">2022-01-04T03:52:00Z</dcterms:created>
  <dcterms:modified xsi:type="dcterms:W3CDTF">2022-01-13T02:27:00Z</dcterms:modified>
</cp:coreProperties>
</file>