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F4" w:rsidRDefault="00582624">
      <w:pPr>
        <w:spacing w:before="60" w:after="6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BIRLA INSTITUTE OF TECHNOLOGY AND SCIENCE, PILANI </w:t>
      </w:r>
    </w:p>
    <w:p w:rsidR="004C6CF4" w:rsidRDefault="00582624">
      <w:pPr>
        <w:spacing w:before="60" w:after="6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Hyderabad Campus</w:t>
      </w:r>
    </w:p>
    <w:p w:rsidR="004C6CF4" w:rsidRDefault="00582624">
      <w:pPr>
        <w:spacing w:before="60" w:after="6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SECOND SEMESTER 2021-2022</w:t>
      </w:r>
    </w:p>
    <w:p w:rsidR="004C6CF4" w:rsidRDefault="00582624">
      <w:pPr>
        <w:spacing w:before="60" w:after="60"/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Course Handout (Part II)</w:t>
      </w:r>
    </w:p>
    <w:p w:rsidR="004C6CF4" w:rsidRDefault="00582624">
      <w:pPr>
        <w:ind w:left="720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Date: 15</w:t>
      </w:r>
      <w:r>
        <w:rPr>
          <w:rFonts w:ascii="Calibri" w:eastAsia="Calibri" w:hAnsi="Calibri" w:cs="Calibri"/>
          <w:sz w:val="22"/>
          <w:szCs w:val="22"/>
        </w:rPr>
        <w:t>/01/2022</w:t>
      </w:r>
    </w:p>
    <w:p w:rsidR="004C6CF4" w:rsidRDefault="00582624">
      <w:pPr>
        <w:ind w:left="720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addition to part -I (General Handout for all courses appended to the time table) this portion gives further specific details regarding the course.</w:t>
      </w:r>
    </w:p>
    <w:p w:rsidR="004C6CF4" w:rsidRDefault="004C6C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Course No.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b/>
          <w:sz w:val="22"/>
          <w:szCs w:val="22"/>
        </w:rPr>
        <w:tab/>
        <w:t>: CHE F419</w:t>
      </w:r>
    </w:p>
    <w:p w:rsidR="004C6CF4" w:rsidRDefault="0058262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Course Title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b/>
          <w:sz w:val="22"/>
          <w:szCs w:val="22"/>
        </w:rPr>
        <w:tab/>
        <w:t>: Chemical Process Technology</w:t>
      </w: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Instructor-in-</w:t>
      </w:r>
      <w:r>
        <w:rPr>
          <w:rFonts w:ascii="Calibri" w:eastAsia="Calibri" w:hAnsi="Calibri" w:cs="Calibri"/>
          <w:b/>
          <w:i/>
          <w:sz w:val="22"/>
          <w:szCs w:val="22"/>
        </w:rPr>
        <w:t>charge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 xml:space="preserve">Ramesh </w:t>
      </w:r>
      <w:proofErr w:type="spellStart"/>
      <w:r>
        <w:rPr>
          <w:rFonts w:ascii="Calibri" w:eastAsia="Calibri" w:hAnsi="Calibri" w:cs="Calibri"/>
          <w:sz w:val="22"/>
          <w:szCs w:val="22"/>
        </w:rPr>
        <w:t>Adusumalli</w:t>
      </w:r>
      <w:proofErr w:type="spellEnd"/>
    </w:p>
    <w:p w:rsidR="004C6CF4" w:rsidRDefault="004C6CF4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4C6CF4" w:rsidRDefault="0058262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sz w:val="22"/>
          <w:szCs w:val="22"/>
        </w:rPr>
        <w:t>Scope and Objective of the Course:</w:t>
      </w: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aim of the course is to study the general principles involved in Chemical manufacturing processes and their application to specific chemical industries relevant to Indian economy. Proc</w:t>
      </w:r>
      <w:r>
        <w:rPr>
          <w:rFonts w:ascii="Calibri" w:eastAsia="Calibri" w:hAnsi="Calibri" w:cs="Calibri"/>
          <w:sz w:val="22"/>
          <w:szCs w:val="22"/>
        </w:rPr>
        <w:t xml:space="preserve">ess technology of Vegetable oils, Fertilizers, Pulp &amp; Paper, Cement, Coal, Petroleum, Synthetic polymer and </w:t>
      </w:r>
      <w:proofErr w:type="spellStart"/>
      <w:r>
        <w:rPr>
          <w:rFonts w:ascii="Calibri" w:eastAsia="Calibri" w:hAnsi="Calibri" w:cs="Calibri"/>
          <w:sz w:val="22"/>
          <w:szCs w:val="22"/>
        </w:rPr>
        <w:t>Fibres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will be studied in detail i.e. raw material to product. Emphasis is placed on understanding the flow sheets.</w:t>
      </w:r>
    </w:p>
    <w:p w:rsidR="004C6CF4" w:rsidRDefault="004C6C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spacing w:before="180" w:after="60"/>
        <w:ind w:left="425" w:hanging="42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 Learning Outcomes:</w:t>
      </w:r>
    </w:p>
    <w:p w:rsidR="004C6CF4" w:rsidRDefault="00582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8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Understan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 the Unit operations and Unit processes involved in Chemical process technologies </w:t>
      </w:r>
    </w:p>
    <w:p w:rsidR="004C6CF4" w:rsidRDefault="00582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8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Apply the knowledge of Separation processes-1&amp;2 and Reaction Engineering in understating the chemical process</w:t>
      </w:r>
    </w:p>
    <w:p w:rsidR="004C6CF4" w:rsidRDefault="00582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8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Understand the Engineering problems in processing of chemical products </w:t>
      </w:r>
    </w:p>
    <w:p w:rsidR="004C6CF4" w:rsidRDefault="00582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8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Understand the need for flow sheets in manufacturing a product (like cement or paper)</w:t>
      </w:r>
    </w:p>
    <w:p w:rsidR="004C6CF4" w:rsidRDefault="004C6C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b/>
        </w:rPr>
        <w:t>Text Book-T1:</w:t>
      </w:r>
      <w:r>
        <w:rPr>
          <w:rFonts w:ascii="Calibri" w:eastAsia="Calibri" w:hAnsi="Calibri" w:cs="Calibri"/>
        </w:rPr>
        <w:t xml:space="preserve"> “Dryden’s </w:t>
      </w:r>
      <w:r>
        <w:rPr>
          <w:rFonts w:ascii="Calibri" w:eastAsia="Calibri" w:hAnsi="Calibri" w:cs="Calibri"/>
          <w:b/>
        </w:rPr>
        <w:t>Outlines of Chemical Technology</w:t>
      </w:r>
      <w:r>
        <w:rPr>
          <w:rFonts w:ascii="Calibri" w:eastAsia="Calibri" w:hAnsi="Calibri" w:cs="Calibri"/>
        </w:rPr>
        <w:t xml:space="preserve"> for the 21st Century" Edited by M. Go</w:t>
      </w:r>
      <w:r>
        <w:rPr>
          <w:rFonts w:ascii="Calibri" w:eastAsia="Calibri" w:hAnsi="Calibri" w:cs="Calibri"/>
        </w:rPr>
        <w:t xml:space="preserve">pala Rao and Marshall </w:t>
      </w:r>
      <w:proofErr w:type="spellStart"/>
      <w:r>
        <w:rPr>
          <w:rFonts w:ascii="Calibri" w:eastAsia="Calibri" w:hAnsi="Calibri" w:cs="Calibri"/>
        </w:rPr>
        <w:t>Sittig</w:t>
      </w:r>
      <w:proofErr w:type="spellEnd"/>
      <w:r>
        <w:rPr>
          <w:rFonts w:ascii="Calibri" w:eastAsia="Calibri" w:hAnsi="Calibri" w:cs="Calibri"/>
        </w:rPr>
        <w:t>. East West Press, 3rd Ed., Reprint 2010.</w:t>
      </w:r>
    </w:p>
    <w:p w:rsidR="004C6CF4" w:rsidRDefault="004C6CF4">
      <w:pPr>
        <w:jc w:val="both"/>
        <w:rPr>
          <w:rFonts w:ascii="Calibri" w:eastAsia="Calibri" w:hAnsi="Calibri" w:cs="Calibri"/>
        </w:rPr>
      </w:pPr>
    </w:p>
    <w:p w:rsidR="004C6CF4" w:rsidRDefault="0058262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Reference Book-R1: </w:t>
      </w:r>
      <w:r>
        <w:rPr>
          <w:rFonts w:ascii="Calibri" w:eastAsia="Calibri" w:hAnsi="Calibri" w:cs="Calibri"/>
        </w:rPr>
        <w:t xml:space="preserve">Shreve’s Chemical Process Industries by George T. Austin, McGraw Hill, 5th </w:t>
      </w:r>
      <w:proofErr w:type="spellStart"/>
      <w:r>
        <w:rPr>
          <w:rFonts w:ascii="Calibri" w:eastAsia="Calibri" w:hAnsi="Calibri" w:cs="Calibri"/>
        </w:rPr>
        <w:t>Edn</w:t>
      </w:r>
      <w:proofErr w:type="spellEnd"/>
      <w:r>
        <w:rPr>
          <w:rFonts w:ascii="Calibri" w:eastAsia="Calibri" w:hAnsi="Calibri" w:cs="Calibri"/>
        </w:rPr>
        <w:t>., Reprint 2017</w:t>
      </w:r>
    </w:p>
    <w:p w:rsidR="004C6CF4" w:rsidRDefault="004C6CF4">
      <w:pPr>
        <w:ind w:left="300"/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Course Plan:</w:t>
      </w:r>
    </w:p>
    <w:tbl>
      <w:tblPr>
        <w:tblStyle w:val="a"/>
        <w:tblW w:w="10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118"/>
        <w:gridCol w:w="4678"/>
        <w:gridCol w:w="1415"/>
      </w:tblGrid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Lect. No.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Learning Objectives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Topics to be covered</w:t>
            </w:r>
          </w:p>
        </w:tc>
        <w:tc>
          <w:tcPr>
            <w:tcW w:w="1415" w:type="dxa"/>
          </w:tcPr>
          <w:p w:rsidR="004C6CF4" w:rsidRPr="00582624" w:rsidRDefault="0058262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582624">
              <w:rPr>
                <w:rFonts w:ascii="Arial" w:hAnsi="Arial" w:cs="Arial"/>
                <w:b/>
                <w:szCs w:val="22"/>
              </w:rPr>
              <w:t>Chapter in the Text Book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Overview of the course</w:t>
            </w:r>
          </w:p>
        </w:tc>
        <w:tc>
          <w:tcPr>
            <w:tcW w:w="4678" w:type="dxa"/>
          </w:tcPr>
          <w:p w:rsidR="004C6CF4" w:rsidRDefault="004C6CF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15" w:type="dxa"/>
          </w:tcPr>
          <w:p w:rsidR="004C6CF4" w:rsidRDefault="004C6CF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C6CF4">
        <w:trPr>
          <w:trHeight w:val="836"/>
        </w:trPr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know the present status of chemical industries in India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Chemical Industries – Facts and figures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Ch.IA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-B, T1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3 -4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 understand the Unit operations 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Lab tour: Drying (Try drier), Filtration (rotary drum vacuum filtration), Sedimentation, Adsorption, Evaporation, Size reduction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fibres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particles), Size enlargement (Granulation)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Ch.IC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-D, T1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5-6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cement manufacturing process</w:t>
            </w:r>
          </w:p>
        </w:tc>
        <w:tc>
          <w:tcPr>
            <w:tcW w:w="4678" w:type="dxa"/>
          </w:tcPr>
          <w:p w:rsidR="004C6CF4" w:rsidRDefault="00582624">
            <w:pPr>
              <w:pStyle w:val="Heading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Cement prop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erties, limestone beneficiation, Portland cement manufacturing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sulfuric acid production process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Contact Process using SO2 and air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A, T1; R1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8-9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Nitrogen based fertilizers production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Urea Production Pro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cesses; Ammonium Nitrate and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Nitrolime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Production Process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E, T1; R1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10-12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 understand the importance of NPK fertilizer and its production 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Production of Phosphoric acid, Superphosphate and DAP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F, T1; R1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13-15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extraction of edible oils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Mechanical and solvent based extraction processes, Hydrogenation of vegetable oils, continuous process for Soap manufacturing. Gas chromatography of vegetable oils 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A, B, T1; R1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16-20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pulp and paper production processes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Cellulose raw materials used for pulp production, Mechanical Pulping; Kraft (sulfate) Process; Chemical recovery, Paper making, Production of lignin chemicals; Production of recycled paper, MDF boards 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Nanocellulose</w:t>
            </w:r>
            <w:proofErr w:type="spellEnd"/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F, T1; R1, notes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21-23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coal based technologies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Coking of coal, Coal gasification, Hydrogenation of Coal, Ash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G, T1; 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24-26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crude oil refining processes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Origin and classification of petroleum,; Refining operations (atmospheric and vacuum distillation), Catalytic cracking,  Reforming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ChIII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H, T1; 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27-31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petrochemical processes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Chemicals from C</w:t>
            </w:r>
            <w:r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compounds, Chemicals from C</w:t>
            </w:r>
            <w:r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compounds (Ethy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lene and acetylene production)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ChIV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B-D, T1; 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32-37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 understand the processes in polymer technology (thermoplastics and thermosets including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Fibres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Modes of Polymerization, Structure-properties of polymers, Processing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polyolefins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(PE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),  PVC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 Phenol-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formaldehyde and Epoxy resins. Production of viscose, Nylon, Polyester and Carbon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fibres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ChV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A-B, T1, R1, notes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38-39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To understand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aluminium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manufacturing processes 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Purification of alumina from Bauxite, electrolytic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aluminium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smelting cell.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ChVI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T1; 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 understand the Paracetamol Tablet manufacturing</w:t>
            </w:r>
          </w:p>
        </w:tc>
        <w:tc>
          <w:tcPr>
            <w:tcW w:w="467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API, binder, granulation, Tablet making and Tablet attributes.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Class notes</w:t>
            </w:r>
          </w:p>
        </w:tc>
      </w:tr>
      <w:tr w:rsidR="004C6CF4">
        <w:tc>
          <w:tcPr>
            <w:tcW w:w="846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41</w:t>
            </w:r>
          </w:p>
        </w:tc>
        <w:tc>
          <w:tcPr>
            <w:tcW w:w="3118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Recent trends in Processing</w:t>
            </w:r>
          </w:p>
        </w:tc>
        <w:tc>
          <w:tcPr>
            <w:tcW w:w="4678" w:type="dxa"/>
          </w:tcPr>
          <w:p w:rsidR="004C6CF4" w:rsidRDefault="00582624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Machine Learning in Chemical Engineering</w:t>
            </w:r>
          </w:p>
        </w:tc>
        <w:tc>
          <w:tcPr>
            <w:tcW w:w="1415" w:type="dxa"/>
          </w:tcPr>
          <w:p w:rsidR="004C6CF4" w:rsidRDefault="0058262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Class notes</w:t>
            </w:r>
          </w:p>
        </w:tc>
      </w:tr>
    </w:tbl>
    <w:p w:rsidR="004C6CF4" w:rsidRDefault="004C6CF4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4C6CF4" w:rsidRDefault="00582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Evaluation Scheme:</w:t>
      </w:r>
    </w:p>
    <w:tbl>
      <w:tblPr>
        <w:tblStyle w:val="a0"/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5"/>
        <w:gridCol w:w="1350"/>
        <w:gridCol w:w="1800"/>
        <w:gridCol w:w="1231"/>
        <w:gridCol w:w="2084"/>
      </w:tblGrid>
      <w:tr w:rsidR="004C6CF4">
        <w:trPr>
          <w:trHeight w:val="567"/>
          <w:jc w:val="center"/>
        </w:trPr>
        <w:tc>
          <w:tcPr>
            <w:tcW w:w="3585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pStyle w:val="Heading1"/>
              <w:spacing w:line="276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Evaluation Component</w:t>
            </w:r>
          </w:p>
        </w:tc>
        <w:tc>
          <w:tcPr>
            <w:tcW w:w="1350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1800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Weightage (%)</w:t>
            </w:r>
          </w:p>
        </w:tc>
        <w:tc>
          <w:tcPr>
            <w:tcW w:w="1231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 &amp;Time</w:t>
            </w:r>
          </w:p>
        </w:tc>
        <w:tc>
          <w:tcPr>
            <w:tcW w:w="2084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Nature of Component</w:t>
            </w:r>
          </w:p>
        </w:tc>
      </w:tr>
      <w:tr w:rsidR="004C6CF4">
        <w:trPr>
          <w:trHeight w:val="392"/>
          <w:jc w:val="center"/>
        </w:trPr>
        <w:tc>
          <w:tcPr>
            <w:tcW w:w="3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 w:colFirst="3" w:colLast="3"/>
            <w:r>
              <w:rPr>
                <w:rFonts w:ascii="Calibri" w:eastAsia="Calibri" w:hAnsi="Calibri" w:cs="Calibri"/>
                <w:sz w:val="22"/>
                <w:szCs w:val="22"/>
              </w:rPr>
              <w:t>Mid semester test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 min</w:t>
            </w:r>
          </w:p>
        </w:tc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35%</w:t>
            </w:r>
          </w:p>
        </w:tc>
        <w:tc>
          <w:tcPr>
            <w:tcW w:w="123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6CF4" w:rsidRPr="00582624" w:rsidRDefault="0058262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582624">
              <w:rPr>
                <w:rFonts w:ascii="Arial" w:hAnsi="Arial" w:cs="Arial"/>
              </w:rPr>
              <w:t>10/03 11.00am to12.30pm</w:t>
            </w:r>
          </w:p>
        </w:tc>
        <w:tc>
          <w:tcPr>
            <w:tcW w:w="20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</w:t>
            </w:r>
          </w:p>
        </w:tc>
      </w:tr>
      <w:tr w:rsidR="004C6CF4">
        <w:trPr>
          <w:trHeight w:val="473"/>
          <w:jc w:val="center"/>
        </w:trPr>
        <w:tc>
          <w:tcPr>
            <w:tcW w:w="3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Surprise Tests (2)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30 min </w:t>
            </w:r>
          </w:p>
        </w:tc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10 %</w:t>
            </w:r>
          </w:p>
        </w:tc>
        <w:tc>
          <w:tcPr>
            <w:tcW w:w="12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Pr="00582624" w:rsidRDefault="004C6CF4">
            <w:pPr>
              <w:spacing w:line="276" w:lineRule="auto"/>
              <w:ind w:left="720" w:hanging="720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0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</w:t>
            </w:r>
          </w:p>
        </w:tc>
      </w:tr>
      <w:tr w:rsidR="004C6CF4">
        <w:trPr>
          <w:trHeight w:val="278"/>
          <w:jc w:val="center"/>
        </w:trPr>
        <w:tc>
          <w:tcPr>
            <w:tcW w:w="35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Seminar</w:t>
            </w:r>
          </w:p>
        </w:tc>
        <w:tc>
          <w:tcPr>
            <w:tcW w:w="13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4C6CF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20 %</w:t>
            </w:r>
          </w:p>
        </w:tc>
        <w:tc>
          <w:tcPr>
            <w:tcW w:w="123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Pr="00582624" w:rsidRDefault="004C6CF4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08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</w:t>
            </w:r>
          </w:p>
        </w:tc>
      </w:tr>
      <w:tr w:rsidR="004C6CF4">
        <w:trPr>
          <w:trHeight w:val="383"/>
          <w:jc w:val="center"/>
        </w:trPr>
        <w:tc>
          <w:tcPr>
            <w:tcW w:w="3585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Comprehensive Exam 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35%</w:t>
            </w:r>
          </w:p>
        </w:tc>
        <w:tc>
          <w:tcPr>
            <w:tcW w:w="1231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Pr="00582624" w:rsidRDefault="00582624">
            <w:pPr>
              <w:spacing w:line="27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582624">
              <w:rPr>
                <w:rFonts w:ascii="Arial" w:hAnsi="Arial" w:cs="Arial"/>
              </w:rPr>
              <w:t>06/05 AN</w:t>
            </w:r>
          </w:p>
        </w:tc>
        <w:tc>
          <w:tcPr>
            <w:tcW w:w="2084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6CF4" w:rsidRDefault="00582624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CB/OB</w:t>
            </w:r>
          </w:p>
        </w:tc>
      </w:tr>
    </w:tbl>
    <w:bookmarkEnd w:id="0"/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NOTE-1: Seminar topics will be allotted </w:t>
      </w:r>
      <w:r>
        <w:rPr>
          <w:rFonts w:ascii="Calibri" w:eastAsia="Calibri" w:hAnsi="Calibri" w:cs="Calibri"/>
          <w:b/>
          <w:sz w:val="22"/>
          <w:szCs w:val="22"/>
        </w:rPr>
        <w:t>for students having 20 % attendance in the class.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NOTE-2: Mode of conducting comprehensive exam (CB/OB) will be announced 1 month prior to exam.</w:t>
      </w: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NOTE-3: Total two surprise tests will be conducted and average will be considered for 10 % weightage</w:t>
      </w:r>
    </w:p>
    <w:p w:rsidR="004C6CF4" w:rsidRDefault="004C6C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 xml:space="preserve">6. </w:t>
      </w:r>
      <w:r>
        <w:rPr>
          <w:rFonts w:ascii="Calibri" w:eastAsia="Calibri" w:hAnsi="Calibri" w:cs="Calibri"/>
          <w:b/>
          <w:sz w:val="22"/>
          <w:szCs w:val="22"/>
        </w:rPr>
        <w:t>Chamb</w:t>
      </w:r>
      <w:r>
        <w:rPr>
          <w:rFonts w:ascii="Calibri" w:eastAsia="Calibri" w:hAnsi="Calibri" w:cs="Calibri"/>
          <w:b/>
          <w:sz w:val="22"/>
          <w:szCs w:val="22"/>
        </w:rPr>
        <w:t>er Consultation Hour:</w:t>
      </w:r>
      <w:r>
        <w:rPr>
          <w:rFonts w:ascii="Calibri" w:eastAsia="Calibri" w:hAnsi="Calibri" w:cs="Calibri"/>
          <w:sz w:val="22"/>
          <w:szCs w:val="22"/>
        </w:rPr>
        <w:t xml:space="preserve"> To be announced in the class.</w:t>
      </w:r>
      <w:r>
        <w:rPr>
          <w:rFonts w:ascii="Calibri" w:eastAsia="Calibri" w:hAnsi="Calibri" w:cs="Calibri"/>
          <w:b/>
          <w:sz w:val="22"/>
          <w:szCs w:val="22"/>
        </w:rPr>
        <w:t xml:space="preserve"> (chamber: D 207)</w:t>
      </w: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7. </w:t>
      </w:r>
      <w:r>
        <w:rPr>
          <w:rFonts w:ascii="Calibri" w:eastAsia="Calibri" w:hAnsi="Calibri" w:cs="Calibri"/>
          <w:b/>
          <w:sz w:val="22"/>
          <w:szCs w:val="22"/>
        </w:rPr>
        <w:t>Notice:</w:t>
      </w:r>
      <w:r>
        <w:rPr>
          <w:rFonts w:ascii="Calibri" w:eastAsia="Calibri" w:hAnsi="Calibri" w:cs="Calibri"/>
          <w:sz w:val="22"/>
          <w:szCs w:val="22"/>
        </w:rPr>
        <w:t xml:space="preserve"> Notice will be displayed on CMS</w:t>
      </w:r>
    </w:p>
    <w:p w:rsidR="004C6CF4" w:rsidRDefault="004C6C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Make-up policy</w:t>
      </w:r>
      <w:r>
        <w:rPr>
          <w:rFonts w:ascii="Calibri" w:eastAsia="Calibri" w:hAnsi="Calibri" w:cs="Calibri"/>
          <w:sz w:val="22"/>
          <w:szCs w:val="22"/>
        </w:rPr>
        <w:t xml:space="preserve">: Make-up will be granted after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he /she maintains 50% attendance in the class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 has genuine reasons not to appear in the regula</w:t>
      </w:r>
      <w:r>
        <w:rPr>
          <w:rFonts w:ascii="Calibri" w:eastAsia="Calibri" w:hAnsi="Calibri" w:cs="Calibri"/>
          <w:sz w:val="22"/>
          <w:szCs w:val="22"/>
        </w:rPr>
        <w:t xml:space="preserve">r test. Prior permission from IC is must for any make-up. </w:t>
      </w:r>
    </w:p>
    <w:p w:rsidR="004C6CF4" w:rsidRDefault="004C6C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Academic Honesty and Integrity Policy:</w:t>
      </w:r>
      <w:r>
        <w:rPr>
          <w:rFonts w:ascii="Calibri" w:eastAsia="Calibri" w:hAnsi="Calibri" w:cs="Calibri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:rsidR="004C6CF4" w:rsidRDefault="00582624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Instructor-in-charge</w:t>
      </w:r>
    </w:p>
    <w:p w:rsidR="004C6CF4" w:rsidRDefault="00582624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     Prof. Ramesh </w:t>
      </w:r>
      <w:proofErr w:type="spellStart"/>
      <w:r>
        <w:rPr>
          <w:rFonts w:ascii="Calibri" w:eastAsia="Calibri" w:hAnsi="Calibri" w:cs="Calibri"/>
          <w:sz w:val="22"/>
          <w:szCs w:val="22"/>
        </w:rPr>
        <w:t>Adusumalli</w:t>
      </w:r>
      <w:proofErr w:type="spellEnd"/>
    </w:p>
    <w:p w:rsidR="004C6CF4" w:rsidRDefault="0058262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CHE F419 </w:t>
      </w:r>
      <w:r>
        <w:rPr>
          <w:rFonts w:ascii="Calibri" w:eastAsia="Calibri" w:hAnsi="Calibri" w:cs="Calibri"/>
          <w:sz w:val="22"/>
          <w:szCs w:val="22"/>
        </w:rPr>
        <w:br/>
        <w:t xml:space="preserve">                                                                                                                                                (Chemical Process Technology)</w:t>
      </w:r>
    </w:p>
    <w:sectPr w:rsidR="004C6CF4">
      <w:pgSz w:w="11909" w:h="16834"/>
      <w:pgMar w:top="1135" w:right="1152" w:bottom="851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CFD"/>
    <w:multiLevelType w:val="multilevel"/>
    <w:tmpl w:val="B94AD122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A47D17"/>
    <w:multiLevelType w:val="multilevel"/>
    <w:tmpl w:val="57DAC59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F4"/>
    <w:rsid w:val="004C6CF4"/>
    <w:rsid w:val="005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8ACC"/>
  <w15:docId w15:val="{E193B1F9-ABE5-4E47-9206-66096E4C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55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95D55"/>
    <w:pPr>
      <w:keepNext/>
      <w:suppressAutoHyphens/>
      <w:jc w:val="both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95D55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A95D55"/>
    <w:rPr>
      <w:sz w:val="24"/>
    </w:rPr>
  </w:style>
  <w:style w:type="character" w:customStyle="1" w:styleId="EquationCaption">
    <w:name w:val="_Equation Caption"/>
    <w:rsid w:val="00A95D55"/>
  </w:style>
  <w:style w:type="paragraph" w:styleId="ListParagraph">
    <w:name w:val="List Paragraph"/>
    <w:basedOn w:val="Normal"/>
    <w:uiPriority w:val="99"/>
    <w:qFormat/>
    <w:rsid w:val="004755F0"/>
    <w:pPr>
      <w:overflowPunct/>
      <w:autoSpaceDE/>
      <w:autoSpaceDN/>
      <w:adjustRightInd/>
      <w:ind w:left="720" w:hanging="567"/>
      <w:jc w:val="both"/>
      <w:textAlignment w:val="auto"/>
    </w:pPr>
    <w:rPr>
      <w:rFonts w:ascii="Times New Roman" w:hAnsi="Times New Roman"/>
      <w:sz w:val="24"/>
      <w:szCs w:val="24"/>
    </w:rPr>
  </w:style>
  <w:style w:type="character" w:customStyle="1" w:styleId="title-text">
    <w:name w:val="title-text"/>
    <w:basedOn w:val="DefaultParagraphFont"/>
    <w:rsid w:val="002D68AF"/>
  </w:style>
  <w:style w:type="paragraph" w:styleId="BalloonText">
    <w:name w:val="Balloon Text"/>
    <w:basedOn w:val="Normal"/>
    <w:link w:val="BalloonTextChar"/>
    <w:semiHidden/>
    <w:unhideWhenUsed/>
    <w:rsid w:val="005C17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172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iqLm8cquMyitJ5be8dQIGlCiw==">AMUW2mUKSE9qzHrBZguCgAG/TDv0yrgAbJHPB3/3zbpg86iEuuGKMHgpudgrbsJebF6hYptI9tm76yrazFIylYrJrYF2Ugc9t3W76vRQA2BiIgGyh2oKq+44SsK4hrprGLbBVnPuNFZP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bsj</dc:creator>
  <cp:lastModifiedBy>BITS</cp:lastModifiedBy>
  <cp:revision>2</cp:revision>
  <dcterms:created xsi:type="dcterms:W3CDTF">2021-12-28T05:37:00Z</dcterms:created>
  <dcterms:modified xsi:type="dcterms:W3CDTF">2022-01-13T02:36:00Z</dcterms:modified>
</cp:coreProperties>
</file>