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5C" w:rsidRDefault="00EA3F51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25C" w:rsidRDefault="00EA3F51">
      <w:pPr>
        <w:jc w:val="center"/>
        <w:rPr>
          <w:b/>
        </w:rPr>
      </w:pPr>
      <w:r>
        <w:rPr>
          <w:b/>
        </w:rPr>
        <w:t>SECOND SEMESTER 2021-2022</w:t>
      </w:r>
    </w:p>
    <w:p w:rsidR="0086525C" w:rsidRDefault="00EA3F51">
      <w:pPr>
        <w:pStyle w:val="Heading1"/>
        <w:jc w:val="center"/>
        <w:rPr>
          <w:b/>
        </w:rPr>
      </w:pPr>
      <w:r>
        <w:rPr>
          <w:b/>
        </w:rPr>
        <w:t>Course Handout Part II</w:t>
      </w:r>
    </w:p>
    <w:p w:rsidR="0086525C" w:rsidRDefault="0086525C">
      <w:pPr>
        <w:jc w:val="right"/>
      </w:pPr>
    </w:p>
    <w:p w:rsidR="0086525C" w:rsidRDefault="00EA3F5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31-12-2021 </w:t>
      </w:r>
    </w:p>
    <w:p w:rsidR="0086525C" w:rsidRDefault="008652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6525C" w:rsidRDefault="00EA3F5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86525C" w:rsidRDefault="0086525C"/>
    <w:p w:rsidR="0086525C" w:rsidRDefault="00EA3F51">
      <w:pPr>
        <w:rPr>
          <w:b/>
          <w:i/>
        </w:rPr>
      </w:pPr>
      <w:r>
        <w:rPr>
          <w:b/>
          <w:i/>
        </w:rPr>
        <w:t>Course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 CHE G532</w:t>
      </w:r>
    </w:p>
    <w:p w:rsidR="0086525C" w:rsidRDefault="00EA3F51">
      <w:pPr>
        <w:pStyle w:val="Heading2"/>
        <w:rPr>
          <w:b/>
          <w:i w:val="0"/>
        </w:rPr>
      </w:pPr>
      <w:r>
        <w:rPr>
          <w:b/>
        </w:rPr>
        <w:t>Course Title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  <w:t>:  Alternate Energy Resources</w:t>
      </w:r>
    </w:p>
    <w:p w:rsidR="0086525C" w:rsidRDefault="00EA3F51">
      <w:pPr>
        <w:pStyle w:val="Heading2"/>
        <w:rPr>
          <w:b/>
          <w:i w:val="0"/>
        </w:rPr>
      </w:pPr>
      <w:r>
        <w:rPr>
          <w:b/>
        </w:rPr>
        <w:t>Instructor-in-Charge</w:t>
      </w:r>
      <w:r>
        <w:rPr>
          <w:b/>
          <w:i w:val="0"/>
        </w:rPr>
        <w:tab/>
      </w:r>
      <w:r>
        <w:rPr>
          <w:b/>
          <w:i w:val="0"/>
        </w:rPr>
        <w:tab/>
        <w:t xml:space="preserve">:  Dr. </w:t>
      </w:r>
      <w:proofErr w:type="spellStart"/>
      <w:r>
        <w:rPr>
          <w:b/>
          <w:i w:val="0"/>
        </w:rPr>
        <w:t>Iyman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Abrar</w:t>
      </w:r>
      <w:proofErr w:type="spellEnd"/>
    </w:p>
    <w:p w:rsidR="0086525C" w:rsidRDefault="0086525C"/>
    <w:p w:rsidR="009213D4" w:rsidRPr="009213D4" w:rsidRDefault="009213D4" w:rsidP="009213D4">
      <w:pPr>
        <w:autoSpaceDE w:val="0"/>
        <w:autoSpaceDN w:val="0"/>
        <w:adjustRightInd w:val="0"/>
        <w:rPr>
          <w:color w:val="000000"/>
        </w:rPr>
      </w:pPr>
      <w:proofErr w:type="gramStart"/>
      <w:r w:rsidRPr="009213D4">
        <w:rPr>
          <w:b/>
        </w:rPr>
        <w:t>Description :</w:t>
      </w:r>
      <w:proofErr w:type="gramEnd"/>
      <w:r w:rsidRPr="009213D4">
        <w:rPr>
          <w:b/>
        </w:rPr>
        <w:t xml:space="preserve"> </w:t>
      </w:r>
      <w:r w:rsidRPr="009213D4">
        <w:rPr>
          <w:color w:val="000000"/>
        </w:rPr>
        <w:t>The scope and present day technology in utilization of solar energy,</w:t>
      </w:r>
      <w:r w:rsidRPr="009213D4">
        <w:rPr>
          <w:color w:val="000000"/>
        </w:rPr>
        <w:t xml:space="preserve"> </w:t>
      </w:r>
      <w:r w:rsidRPr="009213D4">
        <w:rPr>
          <w:color w:val="000000"/>
        </w:rPr>
        <w:t>wind power, tidal power, geothermal power, M.H.D. and</w:t>
      </w:r>
      <w:r>
        <w:rPr>
          <w:color w:val="000000"/>
        </w:rPr>
        <w:t xml:space="preserve"> </w:t>
      </w:r>
      <w:bookmarkStart w:id="0" w:name="_GoBack"/>
      <w:bookmarkEnd w:id="0"/>
      <w:r w:rsidRPr="009213D4">
        <w:rPr>
          <w:color w:val="000000"/>
        </w:rPr>
        <w:t>fuel cells.</w:t>
      </w:r>
    </w:p>
    <w:p w:rsidR="009213D4" w:rsidRPr="009213D4" w:rsidRDefault="009213D4">
      <w:pPr>
        <w:rPr>
          <w:color w:val="000000"/>
        </w:rPr>
      </w:pPr>
    </w:p>
    <w:p w:rsidR="0086525C" w:rsidRDefault="00EA3F51">
      <w:pPr>
        <w:rPr>
          <w:b/>
        </w:rPr>
      </w:pPr>
      <w:r>
        <w:rPr>
          <w:b/>
        </w:rPr>
        <w:t>Scope and Objective of the Course:</w:t>
      </w:r>
    </w:p>
    <w:p w:rsidR="0086525C" w:rsidRDefault="00EA3F5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 objective of this course is to provide knowledge and a state-of-the-art learning of different sources of alternate ene</w:t>
      </w:r>
      <w:r>
        <w:rPr>
          <w:color w:val="000000"/>
        </w:rPr>
        <w:t>rgy resources such as solar energy, wind power, tidal power, and geothermal power, including their technologies, technical assessments, social aspects and environmental impacts pertaining to the real-world applications. Besides the theoretical knowledge, e</w:t>
      </w:r>
      <w:r>
        <w:rPr>
          <w:color w:val="000000"/>
        </w:rPr>
        <w:t>mphasis will also be provided on interactive approach to analyze different alternative energy systems. The course will be useful to the students aiming to build-up and seeking better career opportunities in the field of alternate energy resources and relat</w:t>
      </w:r>
      <w:r>
        <w:rPr>
          <w:color w:val="000000"/>
        </w:rPr>
        <w:t>ed technologies.</w:t>
      </w:r>
    </w:p>
    <w:p w:rsidR="0086525C" w:rsidRDefault="008652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6525C" w:rsidRDefault="00EA3F5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86525C" w:rsidRDefault="00EA3F51">
      <w:pPr>
        <w:numPr>
          <w:ilvl w:val="0"/>
          <w:numId w:val="1"/>
        </w:numPr>
        <w:jc w:val="both"/>
      </w:pPr>
      <w:r>
        <w:t>Kothari, D.P et al. Renewable Energy Sources &amp; Emerging Tech, PHI, 2nd ed., 2011.</w:t>
      </w:r>
    </w:p>
    <w:p w:rsidR="0086525C" w:rsidRDefault="00EA3F51">
      <w:pPr>
        <w:numPr>
          <w:ilvl w:val="0"/>
          <w:numId w:val="1"/>
        </w:numPr>
        <w:jc w:val="both"/>
      </w:pPr>
      <w:r>
        <w:t xml:space="preserve">John </w:t>
      </w:r>
      <w:proofErr w:type="spellStart"/>
      <w:r>
        <w:t>Twidell</w:t>
      </w:r>
      <w:proofErr w:type="spellEnd"/>
      <w:r>
        <w:t>, Tony Weir, Renewable Energy Resources, 2nd Edition, Routledge, Taylor &amp; Francis Group, 2006.</w:t>
      </w:r>
    </w:p>
    <w:p w:rsidR="0086525C" w:rsidRDefault="0086525C">
      <w:pPr>
        <w:jc w:val="both"/>
        <w:rPr>
          <w:b/>
        </w:rPr>
      </w:pPr>
    </w:p>
    <w:p w:rsidR="0086525C" w:rsidRDefault="00EA3F51">
      <w:pPr>
        <w:jc w:val="both"/>
        <w:rPr>
          <w:b/>
        </w:rPr>
      </w:pPr>
      <w:r>
        <w:rPr>
          <w:b/>
        </w:rPr>
        <w:t>Reference books</w:t>
      </w:r>
    </w:p>
    <w:p w:rsidR="0086525C" w:rsidRDefault="00EA3F51">
      <w:pPr>
        <w:numPr>
          <w:ilvl w:val="0"/>
          <w:numId w:val="2"/>
        </w:numPr>
        <w:jc w:val="both"/>
      </w:pPr>
      <w:r>
        <w:t>G.N. Tiwari and R.K. Mishra, Advanced Renewable Energy Sources, RSC Publishing, 2012.</w:t>
      </w:r>
    </w:p>
    <w:p w:rsidR="0086525C" w:rsidRDefault="00EA3F51">
      <w:pPr>
        <w:numPr>
          <w:ilvl w:val="0"/>
          <w:numId w:val="2"/>
        </w:numPr>
        <w:jc w:val="both"/>
      </w:pPr>
      <w:r>
        <w:t>Robert Ehrlich, Renewable Energy: A First Course, CRC Press, Taylor &amp; Francis Group, 2013.</w:t>
      </w:r>
    </w:p>
    <w:p w:rsidR="0086525C" w:rsidRDefault="0086525C">
      <w:pPr>
        <w:jc w:val="both"/>
        <w:rPr>
          <w:b/>
        </w:rPr>
      </w:pPr>
    </w:p>
    <w:p w:rsidR="0086525C" w:rsidRDefault="00EA3F51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10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623"/>
        <w:gridCol w:w="5085"/>
        <w:gridCol w:w="1477"/>
      </w:tblGrid>
      <w:tr w:rsidR="0086525C">
        <w:trPr>
          <w:trHeight w:val="731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Concepts of energy, alternate energy resources, relationship between energy and social implications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</w:t>
            </w:r>
          </w:p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T2: 1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4-8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Solar energy resource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Solar radiation, components, geometry and measurements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3, 4</w:t>
            </w:r>
          </w:p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T2: 4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9-14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Solar thermal energy conversion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 heater, air heaters, crop driers, refrigeration, water desalination, solar ponds, solar concentrators, and energy efficient buildings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5</w:t>
            </w:r>
          </w:p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T2: 5, 6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15-18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Solar photovoltaic generation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Semiconductors, p-n junction, solar cell, cell efficiency and limitations, applications of PV systems, environmental impacts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6</w:t>
            </w:r>
          </w:p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T2: 7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19-24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 energy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Introduction, types of turbines, harnessing of wind energy, mechanical power and electricity generation, environmental impacts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7, 8</w:t>
            </w:r>
          </w:p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T2: 9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25-27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Wave and Tidal Energy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Wave-motion, energy and power, wave patterns, wave power devices, tidal energy, power</w:t>
            </w:r>
            <w:r>
              <w:rPr>
                <w:sz w:val="22"/>
                <w:szCs w:val="22"/>
              </w:rPr>
              <w:t xml:space="preserve"> from tides, environmental impacts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11</w:t>
            </w:r>
          </w:p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T2: ;12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28-32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Biomass and biofuels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Biofuel classifications and production, biogas, ethanol, biodiesel, pyrolysis, environmental impacts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12</w:t>
            </w:r>
          </w:p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T2: 11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33-35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Hydropower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Principles, resource assessment for small installations, types of </w:t>
            </w:r>
            <w:proofErr w:type="spellStart"/>
            <w:r>
              <w:rPr>
                <w:sz w:val="22"/>
                <w:szCs w:val="22"/>
              </w:rPr>
              <w:t>hydroturbines</w:t>
            </w:r>
            <w:proofErr w:type="spellEnd"/>
            <w:r>
              <w:rPr>
                <w:sz w:val="22"/>
                <w:szCs w:val="22"/>
              </w:rPr>
              <w:t>, hydroelectric systems, environmental impacts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9</w:t>
            </w:r>
          </w:p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T2: 8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36-37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Ocean thermal energy conversion (OTEC)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principles of OTEC, closed cycle system, efficiency, applications, environmental considerations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11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38-39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Geothermal energy resource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Geophysics, geothermal resources, harnessing energy from geothermal resources, environmental impacts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10</w:t>
            </w:r>
          </w:p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T2: 1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86525C">
        <w:trPr>
          <w:trHeight w:val="549"/>
          <w:jc w:val="center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40-42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Emerging technologies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fuel cells, hydrogen energy and hybrid energy systems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T1: 13, 14, 15</w:t>
            </w:r>
          </w:p>
        </w:tc>
      </w:tr>
    </w:tbl>
    <w:p w:rsidR="0086525C" w:rsidRDefault="00EA3F51">
      <w:pPr>
        <w:spacing w:line="276" w:lineRule="auto"/>
        <w:ind w:right="-720"/>
        <w:jc w:val="both"/>
      </w:pPr>
      <w:r>
        <w:t xml:space="preserve">   Sequence of lecture may be changed depending on the situation/requirement.</w:t>
      </w:r>
    </w:p>
    <w:p w:rsidR="0086525C" w:rsidRDefault="0086525C">
      <w:pPr>
        <w:jc w:val="both"/>
      </w:pPr>
    </w:p>
    <w:p w:rsidR="0086525C" w:rsidRDefault="00EA3F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1D2228"/>
        </w:rPr>
      </w:pPr>
      <w:r>
        <w:rPr>
          <w:b/>
          <w:color w:val="1D2228"/>
        </w:rPr>
        <w:t>Plan for Lab experiments</w:t>
      </w:r>
    </w:p>
    <w:tbl>
      <w:tblPr>
        <w:tblStyle w:val="a0"/>
        <w:tblW w:w="1019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843"/>
        <w:gridCol w:w="6945"/>
      </w:tblGrid>
      <w:tr w:rsidR="0086525C">
        <w:trPr>
          <w:trHeight w:val="57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1D2228"/>
              </w:rPr>
              <w:t>Experiment No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1D2228"/>
              </w:rPr>
              <w:t>Lab name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1D2228"/>
              </w:rPr>
              <w:t>Experiment Name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Refrigeration, Air-Conditioning &amp; Energy Laboratory*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evaluate the efficiency of solar thermal system in </w:t>
            </w:r>
            <w:proofErr w:type="spellStart"/>
            <w:r>
              <w:rPr>
                <w:sz w:val="22"/>
                <w:szCs w:val="22"/>
              </w:rPr>
              <w:t>thermosyphonic</w:t>
            </w:r>
            <w:proofErr w:type="spellEnd"/>
            <w:r>
              <w:rPr>
                <w:sz w:val="22"/>
                <w:szCs w:val="22"/>
              </w:rPr>
              <w:t xml:space="preserve"> mode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865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evaluate the efficiency of solar thermal system in forced mode of flow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865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find I-V and P-V characteristics of a single PV module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865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observe the effect of shade on I-V and P-V characteristics of a single PV module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865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observe the cut-in speed of wind turbine, and to evaluate tip speed ratio at different wind speeds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865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evaluate the coefficient of performance of a wind turbine 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525C" w:rsidRDefault="00865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Analysis and characterization of wind stand-alone system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Petroleum Laboratory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produce biodiesel from vegetable oil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525C" w:rsidRDefault="00865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measure the calorific value of biodiesel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525C" w:rsidRDefault="00865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measure the flash point and fire point of biodiesel</w:t>
            </w:r>
          </w:p>
        </w:tc>
      </w:tr>
      <w:tr w:rsidR="0086525C">
        <w:trPr>
          <w:trHeight w:val="402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6525C" w:rsidRDefault="00865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525C" w:rsidRDefault="00EA3F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measure the cloud point and pour point of biodiesel</w:t>
            </w:r>
          </w:p>
        </w:tc>
      </w:tr>
    </w:tbl>
    <w:p w:rsidR="0086525C" w:rsidRDefault="00EA3F51">
      <w:pPr>
        <w:jc w:val="both"/>
      </w:pPr>
      <w:r>
        <w:lastRenderedPageBreak/>
        <w:t>The experiments would be performed subject to availability of the instruments. The sequence of experiments may be changed depending on the situation/requirement.</w:t>
      </w:r>
    </w:p>
    <w:p w:rsidR="0086525C" w:rsidRDefault="0086525C">
      <w:pPr>
        <w:jc w:val="both"/>
      </w:pPr>
    </w:p>
    <w:p w:rsidR="0086525C" w:rsidRDefault="00EA3F51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1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93"/>
        <w:gridCol w:w="1909"/>
        <w:gridCol w:w="1985"/>
        <w:gridCol w:w="2551"/>
      </w:tblGrid>
      <w:tr w:rsidR="0086525C">
        <w:trPr>
          <w:trHeight w:val="422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6525C" w:rsidRDefault="00EA3F51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86525C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r>
              <w:rPr>
                <w:sz w:val="22"/>
                <w:szCs w:val="22"/>
              </w:rPr>
              <w:t>Mid-term test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</w:pPr>
            <w:r>
              <w:rPr>
                <w:sz w:val="22"/>
                <w:szCs w:val="22"/>
              </w:rPr>
              <w:t>90 minutes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</w:pPr>
            <w:r>
              <w:t>As per timetable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</w:pPr>
            <w:r>
              <w:rPr>
                <w:sz w:val="22"/>
                <w:szCs w:val="22"/>
              </w:rPr>
              <w:t>OB</w:t>
            </w:r>
          </w:p>
        </w:tc>
      </w:tr>
      <w:tr w:rsidR="0086525C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and assignments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minutes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35%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</w:pPr>
            <w:r>
              <w:t>Continuous evaluation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86525C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exam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minutes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35%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6B709E">
            <w:pPr>
              <w:jc w:val="center"/>
            </w:pPr>
            <w:r>
              <w:rPr>
                <w:rFonts w:ascii="CIDFont+F3" w:hAnsi="CIDFont+F3" w:cs="CIDFont+F3"/>
                <w:sz w:val="17"/>
                <w:szCs w:val="17"/>
                <w:lang w:val="en-IN" w:eastAsia="en-IN"/>
              </w:rPr>
              <w:t>14/05 FN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525C" w:rsidRDefault="00EA3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CB/OB</w:t>
            </w:r>
          </w:p>
        </w:tc>
      </w:tr>
    </w:tbl>
    <w:p w:rsidR="0086525C" w:rsidRDefault="0086525C">
      <w:pPr>
        <w:jc w:val="both"/>
      </w:pPr>
    </w:p>
    <w:p w:rsidR="0086525C" w:rsidRDefault="00EA3F51">
      <w:pPr>
        <w:jc w:val="both"/>
      </w:pPr>
      <w:r>
        <w:rPr>
          <w:b/>
        </w:rPr>
        <w:t>Chamber Consultation Hour:</w:t>
      </w:r>
      <w:r>
        <w:t xml:space="preserve"> To be announced in the class.</w:t>
      </w:r>
    </w:p>
    <w:p w:rsidR="0086525C" w:rsidRDefault="0086525C">
      <w:pPr>
        <w:jc w:val="both"/>
      </w:pPr>
    </w:p>
    <w:p w:rsidR="0086525C" w:rsidRDefault="00EA3F51">
      <w:pPr>
        <w:jc w:val="both"/>
      </w:pPr>
      <w:bookmarkStart w:id="1" w:name="_heading=h.gjdgxs" w:colFirst="0" w:colLast="0"/>
      <w:bookmarkEnd w:id="1"/>
      <w:r>
        <w:rPr>
          <w:b/>
        </w:rPr>
        <w:t>Notices:</w:t>
      </w:r>
      <w:r>
        <w:t xml:space="preserve"> All notices concerning this course will be displayed on the CMS portal.</w:t>
      </w:r>
    </w:p>
    <w:p w:rsidR="0086525C" w:rsidRDefault="0086525C">
      <w:pPr>
        <w:jc w:val="both"/>
      </w:pPr>
    </w:p>
    <w:p w:rsidR="0086525C" w:rsidRDefault="00EA3F51">
      <w:pPr>
        <w:jc w:val="both"/>
      </w:pPr>
      <w:r>
        <w:rPr>
          <w:b/>
        </w:rPr>
        <w:t xml:space="preserve">Make-up Policy: </w:t>
      </w:r>
      <w:r>
        <w:t>Make-up for the mid-term and comprehensive exams may be granted only with prior permission and valid justification from the instructor-in-charge. No makeup for the quiz/surprise tests will be granted.</w:t>
      </w:r>
    </w:p>
    <w:p w:rsidR="0086525C" w:rsidRDefault="0086525C">
      <w:pPr>
        <w:jc w:val="both"/>
        <w:rPr>
          <w:b/>
        </w:rPr>
      </w:pPr>
    </w:p>
    <w:p w:rsidR="0086525C" w:rsidRDefault="00EA3F51">
      <w:pPr>
        <w:jc w:val="both"/>
      </w:pPr>
      <w:r>
        <w:rPr>
          <w:b/>
          <w:sz w:val="22"/>
          <w:szCs w:val="22"/>
        </w:rPr>
        <w:t>Academic Honesty and Integrity Policy:</w:t>
      </w:r>
      <w:r>
        <w:rPr>
          <w:sz w:val="22"/>
          <w:szCs w:val="22"/>
        </w:rPr>
        <w:t xml:space="preserve"> Academic honest</w:t>
      </w:r>
      <w:r>
        <w:rPr>
          <w:sz w:val="22"/>
          <w:szCs w:val="22"/>
        </w:rPr>
        <w:t>y and integrity are to be maintained by all the students throughout the semester and no type of academic dishonesty is acceptable.</w:t>
      </w:r>
    </w:p>
    <w:p w:rsidR="0086525C" w:rsidRDefault="0086525C">
      <w:pPr>
        <w:jc w:val="right"/>
      </w:pPr>
    </w:p>
    <w:p w:rsidR="0086525C" w:rsidRDefault="0086525C">
      <w:pPr>
        <w:jc w:val="right"/>
        <w:rPr>
          <w:b/>
        </w:rPr>
      </w:pPr>
    </w:p>
    <w:p w:rsidR="0086525C" w:rsidRDefault="00EA3F51">
      <w:pPr>
        <w:ind w:left="7200" w:firstLine="72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Dr. </w:t>
      </w:r>
      <w:proofErr w:type="spellStart"/>
      <w:r>
        <w:rPr>
          <w:b/>
          <w:sz w:val="22"/>
          <w:szCs w:val="22"/>
        </w:rPr>
        <w:t>Iyman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Abrar</w:t>
      </w:r>
      <w:proofErr w:type="spellEnd"/>
    </w:p>
    <w:p w:rsidR="0086525C" w:rsidRDefault="00EA3F51">
      <w:pPr>
        <w:ind w:left="7200"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Instructor-in-charge</w:t>
      </w:r>
    </w:p>
    <w:p w:rsidR="0086525C" w:rsidRDefault="00EA3F51">
      <w:pPr>
        <w:ind w:left="7200"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Alternate Energy Resources</w:t>
      </w:r>
    </w:p>
    <w:sectPr w:rsidR="0086525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F51" w:rsidRDefault="00EA3F51">
      <w:r>
        <w:separator/>
      </w:r>
    </w:p>
  </w:endnote>
  <w:endnote w:type="continuationSeparator" w:id="0">
    <w:p w:rsidR="00EA3F51" w:rsidRDefault="00EA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25C" w:rsidRDefault="00EA3F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F51" w:rsidRDefault="00EA3F51">
      <w:r>
        <w:separator/>
      </w:r>
    </w:p>
  </w:footnote>
  <w:footnote w:type="continuationSeparator" w:id="0">
    <w:p w:rsidR="00EA3F51" w:rsidRDefault="00EA3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25C" w:rsidRDefault="008652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6425"/>
    <w:multiLevelType w:val="multilevel"/>
    <w:tmpl w:val="320C8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351A"/>
    <w:multiLevelType w:val="multilevel"/>
    <w:tmpl w:val="E36E9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5C"/>
    <w:rsid w:val="006B709E"/>
    <w:rsid w:val="0086525C"/>
    <w:rsid w:val="009213D4"/>
    <w:rsid w:val="00C35301"/>
    <w:rsid w:val="00C97BA9"/>
    <w:rsid w:val="00E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8579"/>
  <w15:docId w15:val="{CA3BBCFA-791D-4B93-A24C-665E5EE9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48F"/>
    <w:rPr>
      <w:lang w:eastAsia="en-US"/>
    </w:rPr>
  </w:style>
  <w:style w:type="paragraph" w:styleId="Heading1">
    <w:name w:val="heading 1"/>
    <w:basedOn w:val="Normal"/>
    <w:next w:val="Normal"/>
    <w:qFormat/>
    <w:rsid w:val="000C248F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0C248F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0C248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rsid w:val="000C248F"/>
    <w:pPr>
      <w:jc w:val="both"/>
    </w:pPr>
  </w:style>
  <w:style w:type="paragraph" w:styleId="BodyTextIndent">
    <w:name w:val="Body Text Indent"/>
    <w:basedOn w:val="Normal"/>
    <w:link w:val="BodyTextIndentChar"/>
    <w:rsid w:val="000C248F"/>
    <w:pPr>
      <w:ind w:left="900" w:hanging="540"/>
      <w:jc w:val="both"/>
    </w:pPr>
  </w:style>
  <w:style w:type="paragraph" w:styleId="BodyText2">
    <w:name w:val="Body Text 2"/>
    <w:basedOn w:val="Normal"/>
    <w:semiHidden/>
    <w:rsid w:val="000C248F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0C248F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yiv5443811438msonormal">
    <w:name w:val="yiv5443811438msonormal"/>
    <w:basedOn w:val="Normal"/>
    <w:rsid w:val="00267C52"/>
    <w:pPr>
      <w:spacing w:before="100" w:beforeAutospacing="1" w:after="100" w:afterAutospacing="1"/>
    </w:pPr>
    <w:rPr>
      <w:lang w:val="en-IN" w:eastAsia="en-IN"/>
    </w:rPr>
  </w:style>
  <w:style w:type="character" w:customStyle="1" w:styleId="BodyTextIndentChar">
    <w:name w:val="Body Text Indent Char"/>
    <w:link w:val="BodyTextIndent"/>
    <w:rsid w:val="004E1269"/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qULhTKaCcZkhhBP0Ie5Im0JmAQ==">AMUW2mWpoHZM6vLYS3vvty7hHaujIJsLZlCos8z2xEN360RcdDElIrlFvhTWdV7O3auydcR3KnUlaqfDw61skWyBc1PGCQwknJt0wjKMGGCbacBQJaakTv2psI4qaSNRHITxlJk/qKIK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8</cp:revision>
  <dcterms:created xsi:type="dcterms:W3CDTF">2015-11-12T12:14:00Z</dcterms:created>
  <dcterms:modified xsi:type="dcterms:W3CDTF">2022-01-06T04:48:00Z</dcterms:modified>
</cp:coreProperties>
</file>