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C6A" w:rsidRDefault="006D5DD0">
      <w:pPr>
        <w:widowControl w:val="0"/>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0" distB="0" distL="0" distR="0">
            <wp:extent cx="4800600" cy="990600"/>
            <wp:effectExtent l="0" t="0" r="0" b="0"/>
            <wp:docPr id="151" name="image1.jpg" descr="Description: 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Description: Logo_Horizontal_longVersion"/>
                    <pic:cNvPicPr preferRelativeResize="0"/>
                  </pic:nvPicPr>
                  <pic:blipFill>
                    <a:blip r:embed="rId6"/>
                    <a:srcRect/>
                    <a:stretch>
                      <a:fillRect/>
                    </a:stretch>
                  </pic:blipFill>
                  <pic:spPr>
                    <a:xfrm>
                      <a:off x="0" y="0"/>
                      <a:ext cx="4800600" cy="990600"/>
                    </a:xfrm>
                    <a:prstGeom prst="rect">
                      <a:avLst/>
                    </a:prstGeom>
                    <a:ln/>
                  </pic:spPr>
                </pic:pic>
              </a:graphicData>
            </a:graphic>
          </wp:inline>
        </w:drawing>
      </w:r>
    </w:p>
    <w:p w:rsidR="00C32C6A" w:rsidRDefault="00C32C6A">
      <w:pPr>
        <w:widowControl w:val="0"/>
        <w:spacing w:after="0" w:line="14" w:lineRule="auto"/>
        <w:rPr>
          <w:rFonts w:ascii="Times New Roman" w:eastAsia="Times New Roman" w:hAnsi="Times New Roman" w:cs="Times New Roman"/>
          <w:sz w:val="20"/>
          <w:szCs w:val="20"/>
        </w:rPr>
      </w:pPr>
    </w:p>
    <w:p w:rsidR="00C32C6A" w:rsidRDefault="006D5DD0">
      <w:pPr>
        <w:widowControl w:val="0"/>
        <w:spacing w:after="0" w:line="240" w:lineRule="auto"/>
        <w:ind w:left="3640"/>
        <w:rPr>
          <w:rFonts w:ascii="Times New Roman" w:eastAsia="Times New Roman" w:hAnsi="Times New Roman" w:cs="Times New Roman"/>
          <w:sz w:val="20"/>
          <w:szCs w:val="20"/>
        </w:rPr>
      </w:pPr>
      <w:r>
        <w:rPr>
          <w:rFonts w:ascii="Times New Roman" w:eastAsia="Times New Roman" w:hAnsi="Times New Roman" w:cs="Times New Roman"/>
          <w:b/>
          <w:sz w:val="20"/>
          <w:szCs w:val="20"/>
        </w:rPr>
        <w:t>Second Semester 2021- 2022</w:t>
      </w:r>
    </w:p>
    <w:p w:rsidR="00C32C6A" w:rsidRDefault="00C32C6A">
      <w:pPr>
        <w:widowControl w:val="0"/>
        <w:spacing w:after="0" w:line="14" w:lineRule="auto"/>
        <w:rPr>
          <w:rFonts w:ascii="Times New Roman" w:eastAsia="Times New Roman" w:hAnsi="Times New Roman" w:cs="Times New Roman"/>
          <w:sz w:val="20"/>
          <w:szCs w:val="20"/>
        </w:rPr>
      </w:pPr>
    </w:p>
    <w:p w:rsidR="00C32C6A" w:rsidRDefault="006D5DD0">
      <w:pPr>
        <w:widowControl w:val="0"/>
        <w:spacing w:after="0" w:line="240" w:lineRule="auto"/>
        <w:ind w:left="3740"/>
        <w:rPr>
          <w:rFonts w:ascii="Times New Roman" w:eastAsia="Times New Roman" w:hAnsi="Times New Roman" w:cs="Times New Roman"/>
          <w:sz w:val="20"/>
          <w:szCs w:val="20"/>
        </w:rPr>
      </w:pPr>
      <w:r>
        <w:rPr>
          <w:rFonts w:ascii="Times New Roman" w:eastAsia="Times New Roman" w:hAnsi="Times New Roman" w:cs="Times New Roman"/>
          <w:b/>
          <w:sz w:val="20"/>
          <w:szCs w:val="20"/>
        </w:rPr>
        <w:t>Course Handout (Part-II)</w:t>
      </w:r>
    </w:p>
    <w:p w:rsidR="00C32C6A" w:rsidRDefault="006D5DD0">
      <w:pPr>
        <w:widowControl w:val="0"/>
        <w:spacing w:after="0" w:line="240" w:lineRule="auto"/>
        <w:ind w:left="7797"/>
        <w:rPr>
          <w:rFonts w:ascii="Times New Roman" w:eastAsia="Times New Roman" w:hAnsi="Times New Roman" w:cs="Times New Roman"/>
          <w:sz w:val="20"/>
          <w:szCs w:val="20"/>
        </w:rPr>
      </w:pPr>
      <w:r>
        <w:rPr>
          <w:rFonts w:ascii="Times New Roman" w:eastAsia="Times New Roman" w:hAnsi="Times New Roman" w:cs="Times New Roman"/>
          <w:sz w:val="20"/>
          <w:szCs w:val="20"/>
        </w:rPr>
        <w:t>Date: 28/122021</w:t>
      </w:r>
    </w:p>
    <w:p w:rsidR="00C32C6A" w:rsidRDefault="00C32C6A">
      <w:pPr>
        <w:widowControl w:val="0"/>
        <w:spacing w:after="0" w:line="240" w:lineRule="auto"/>
        <w:rPr>
          <w:rFonts w:ascii="Times New Roman" w:eastAsia="Times New Roman" w:hAnsi="Times New Roman" w:cs="Times New Roman"/>
          <w:sz w:val="20"/>
          <w:szCs w:val="20"/>
        </w:rPr>
      </w:pPr>
    </w:p>
    <w:p w:rsidR="00C32C6A" w:rsidRDefault="006D5DD0">
      <w:pPr>
        <w:widowControl w:val="0"/>
        <w:spacing w:after="0" w:line="284" w:lineRule="auto"/>
        <w:ind w:left="120" w:right="1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In addition to Part I (General Handout for all courses appended to the Time Table), this portion gives further specific details regarding the course.</w:t>
      </w:r>
    </w:p>
    <w:p w:rsidR="00C32C6A" w:rsidRDefault="00C32C6A">
      <w:pPr>
        <w:widowControl w:val="0"/>
        <w:spacing w:after="0" w:line="132" w:lineRule="auto"/>
        <w:rPr>
          <w:rFonts w:ascii="Times New Roman" w:eastAsia="Times New Roman" w:hAnsi="Times New Roman" w:cs="Times New Roman"/>
          <w:sz w:val="20"/>
          <w:szCs w:val="20"/>
        </w:rPr>
      </w:pPr>
    </w:p>
    <w:tbl>
      <w:tblPr>
        <w:tblStyle w:val="a"/>
        <w:tblW w:w="5660" w:type="dxa"/>
        <w:tblInd w:w="120" w:type="dxa"/>
        <w:tblLayout w:type="fixed"/>
        <w:tblLook w:val="0000" w:firstRow="0" w:lastRow="0" w:firstColumn="0" w:lastColumn="0" w:noHBand="0" w:noVBand="0"/>
      </w:tblPr>
      <w:tblGrid>
        <w:gridCol w:w="2160"/>
        <w:gridCol w:w="1100"/>
        <w:gridCol w:w="2400"/>
      </w:tblGrid>
      <w:tr w:rsidR="00C32C6A">
        <w:trPr>
          <w:trHeight w:val="191"/>
        </w:trPr>
        <w:tc>
          <w:tcPr>
            <w:tcW w:w="2160" w:type="dxa"/>
            <w:tcBorders>
              <w:top w:val="nil"/>
              <w:left w:val="nil"/>
              <w:bottom w:val="nil"/>
              <w:right w:val="nil"/>
            </w:tcBorders>
            <w:vAlign w:val="bottom"/>
          </w:tcPr>
          <w:p w:rsidR="00C32C6A" w:rsidRDefault="006D5DD0">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Course No</w:t>
            </w:r>
            <w:r>
              <w:rPr>
                <w:rFonts w:ascii="Times New Roman" w:eastAsia="Times New Roman" w:hAnsi="Times New Roman" w:cs="Times New Roman"/>
                <w:b/>
                <w:i/>
                <w:sz w:val="20"/>
                <w:szCs w:val="20"/>
              </w:rPr>
              <w:t>.</w:t>
            </w:r>
          </w:p>
        </w:tc>
        <w:tc>
          <w:tcPr>
            <w:tcW w:w="1100" w:type="dxa"/>
            <w:tcBorders>
              <w:top w:val="nil"/>
              <w:left w:val="nil"/>
              <w:bottom w:val="nil"/>
              <w:right w:val="nil"/>
            </w:tcBorders>
            <w:vAlign w:val="bottom"/>
          </w:tcPr>
          <w:p w:rsidR="00C32C6A" w:rsidRDefault="006D5DD0">
            <w:pPr>
              <w:widowControl w:val="0"/>
              <w:spacing w:after="0" w:line="240" w:lineRule="auto"/>
              <w:ind w:right="24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
        </w:tc>
        <w:tc>
          <w:tcPr>
            <w:tcW w:w="2400" w:type="dxa"/>
            <w:tcBorders>
              <w:top w:val="nil"/>
              <w:left w:val="nil"/>
              <w:bottom w:val="nil"/>
              <w:right w:val="nil"/>
            </w:tcBorders>
            <w:vAlign w:val="bottom"/>
          </w:tcPr>
          <w:p w:rsidR="00C32C6A" w:rsidRDefault="006D5DD0">
            <w:pPr>
              <w:widowControl w:val="0"/>
              <w:spacing w:after="0" w:line="240" w:lineRule="auto"/>
              <w:ind w:left="340"/>
              <w:rPr>
                <w:rFonts w:ascii="Times New Roman" w:eastAsia="Times New Roman" w:hAnsi="Times New Roman" w:cs="Times New Roman"/>
                <w:sz w:val="20"/>
                <w:szCs w:val="20"/>
              </w:rPr>
            </w:pPr>
            <w:r>
              <w:rPr>
                <w:rFonts w:ascii="Times New Roman" w:eastAsia="Times New Roman" w:hAnsi="Times New Roman" w:cs="Times New Roman"/>
                <w:b/>
                <w:sz w:val="20"/>
                <w:szCs w:val="20"/>
              </w:rPr>
              <w:t>CHE G641</w:t>
            </w:r>
          </w:p>
        </w:tc>
      </w:tr>
      <w:tr w:rsidR="00C32C6A">
        <w:trPr>
          <w:trHeight w:val="190"/>
        </w:trPr>
        <w:tc>
          <w:tcPr>
            <w:tcW w:w="2160" w:type="dxa"/>
            <w:tcBorders>
              <w:top w:val="nil"/>
              <w:left w:val="nil"/>
              <w:bottom w:val="nil"/>
              <w:right w:val="nil"/>
            </w:tcBorders>
            <w:vAlign w:val="bottom"/>
          </w:tcPr>
          <w:p w:rsidR="00C32C6A" w:rsidRDefault="006D5DD0">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Course Title</w:t>
            </w:r>
          </w:p>
        </w:tc>
        <w:tc>
          <w:tcPr>
            <w:tcW w:w="1100" w:type="dxa"/>
            <w:tcBorders>
              <w:top w:val="nil"/>
              <w:left w:val="nil"/>
              <w:bottom w:val="nil"/>
              <w:right w:val="nil"/>
            </w:tcBorders>
            <w:vAlign w:val="bottom"/>
          </w:tcPr>
          <w:p w:rsidR="00C32C6A" w:rsidRDefault="006D5DD0">
            <w:pPr>
              <w:widowControl w:val="0"/>
              <w:spacing w:after="0" w:line="240" w:lineRule="auto"/>
              <w:ind w:right="24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
        </w:tc>
        <w:tc>
          <w:tcPr>
            <w:tcW w:w="2400" w:type="dxa"/>
            <w:tcBorders>
              <w:top w:val="nil"/>
              <w:left w:val="nil"/>
              <w:bottom w:val="nil"/>
              <w:right w:val="nil"/>
            </w:tcBorders>
            <w:vAlign w:val="bottom"/>
          </w:tcPr>
          <w:p w:rsidR="00C32C6A" w:rsidRDefault="006D5DD0">
            <w:pPr>
              <w:widowControl w:val="0"/>
              <w:spacing w:after="0" w:line="240" w:lineRule="auto"/>
              <w:ind w:left="340"/>
              <w:rPr>
                <w:rFonts w:ascii="Times New Roman" w:eastAsia="Times New Roman" w:hAnsi="Times New Roman" w:cs="Times New Roman"/>
                <w:sz w:val="20"/>
                <w:szCs w:val="20"/>
              </w:rPr>
            </w:pPr>
            <w:r>
              <w:rPr>
                <w:rFonts w:ascii="Times New Roman" w:eastAsia="Times New Roman" w:hAnsi="Times New Roman" w:cs="Times New Roman"/>
                <w:b/>
                <w:sz w:val="20"/>
                <w:szCs w:val="20"/>
              </w:rPr>
              <w:t>Reaction Engineering</w:t>
            </w:r>
          </w:p>
        </w:tc>
      </w:tr>
      <w:tr w:rsidR="00C32C6A">
        <w:trPr>
          <w:trHeight w:val="213"/>
        </w:trPr>
        <w:tc>
          <w:tcPr>
            <w:tcW w:w="2160" w:type="dxa"/>
            <w:tcBorders>
              <w:top w:val="nil"/>
              <w:left w:val="nil"/>
              <w:bottom w:val="nil"/>
              <w:right w:val="nil"/>
            </w:tcBorders>
            <w:vAlign w:val="bottom"/>
          </w:tcPr>
          <w:p w:rsidR="00C32C6A" w:rsidRDefault="006D5DD0">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Instructor-in-Charge</w:t>
            </w:r>
          </w:p>
        </w:tc>
        <w:tc>
          <w:tcPr>
            <w:tcW w:w="1100" w:type="dxa"/>
            <w:tcBorders>
              <w:top w:val="nil"/>
              <w:left w:val="nil"/>
              <w:bottom w:val="nil"/>
              <w:right w:val="nil"/>
            </w:tcBorders>
            <w:vAlign w:val="bottom"/>
          </w:tcPr>
          <w:p w:rsidR="00C32C6A" w:rsidRDefault="006D5DD0">
            <w:pPr>
              <w:widowControl w:val="0"/>
              <w:spacing w:after="0" w:line="240" w:lineRule="auto"/>
              <w:ind w:right="24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p>
        </w:tc>
        <w:tc>
          <w:tcPr>
            <w:tcW w:w="2400" w:type="dxa"/>
            <w:tcBorders>
              <w:top w:val="nil"/>
              <w:left w:val="nil"/>
              <w:bottom w:val="nil"/>
              <w:right w:val="nil"/>
            </w:tcBorders>
            <w:vAlign w:val="bottom"/>
          </w:tcPr>
          <w:p w:rsidR="00C32C6A" w:rsidRDefault="006D5DD0">
            <w:pPr>
              <w:widowControl w:val="0"/>
              <w:spacing w:after="0" w:line="240" w:lineRule="auto"/>
              <w:ind w:left="340"/>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Srikanta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Dinda</w:t>
            </w:r>
            <w:proofErr w:type="spellEnd"/>
          </w:p>
        </w:tc>
      </w:tr>
    </w:tbl>
    <w:p w:rsidR="00C32C6A" w:rsidRDefault="00C32C6A">
      <w:pPr>
        <w:widowControl w:val="0"/>
        <w:spacing w:after="0" w:line="257" w:lineRule="auto"/>
        <w:rPr>
          <w:rFonts w:ascii="Times New Roman" w:eastAsia="Times New Roman" w:hAnsi="Times New Roman" w:cs="Times New Roman"/>
          <w:sz w:val="20"/>
          <w:szCs w:val="20"/>
        </w:rPr>
      </w:pPr>
    </w:p>
    <w:p w:rsidR="00EA5D0D" w:rsidRDefault="00EA5D0D" w:rsidP="00EA5D0D">
      <w:pPr>
        <w:autoSpaceDE w:val="0"/>
        <w:autoSpaceDN w:val="0"/>
        <w:adjustRightInd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EA5D0D">
        <w:rPr>
          <w:rFonts w:ascii="Times New Roman" w:eastAsia="Times New Roman" w:hAnsi="Times New Roman" w:cs="Times New Roman"/>
          <w:b/>
          <w:sz w:val="20"/>
          <w:szCs w:val="20"/>
        </w:rPr>
        <w:t>Description :</w:t>
      </w:r>
      <w:r>
        <w:rPr>
          <w:rFonts w:ascii="Times New Roman" w:eastAsia="Times New Roman" w:hAnsi="Times New Roman" w:cs="Times New Roman"/>
          <w:b/>
          <w:sz w:val="20"/>
          <w:szCs w:val="20"/>
        </w:rPr>
        <w:t xml:space="preserve"> </w:t>
      </w:r>
      <w:r w:rsidRPr="00EA5D0D">
        <w:rPr>
          <w:rFonts w:ascii="Times New Roman" w:eastAsia="Times New Roman" w:hAnsi="Times New Roman" w:cs="Times New Roman"/>
          <w:sz w:val="20"/>
          <w:szCs w:val="20"/>
        </w:rPr>
        <w:t xml:space="preserve">Design of multi-phase reactors; analyses of gas-liquid and </w:t>
      </w:r>
      <w:proofErr w:type="spellStart"/>
      <w:r w:rsidRPr="00EA5D0D">
        <w:rPr>
          <w:rFonts w:ascii="Times New Roman" w:eastAsia="Times New Roman" w:hAnsi="Times New Roman" w:cs="Times New Roman"/>
          <w:sz w:val="20"/>
          <w:szCs w:val="20"/>
        </w:rPr>
        <w:t>gasliquid</w:t>
      </w:r>
      <w:proofErr w:type="spellEnd"/>
      <w:r w:rsidRPr="00EA5D0D">
        <w:rPr>
          <w:rFonts w:ascii="Times New Roman" w:eastAsia="Times New Roman" w:hAnsi="Times New Roman" w:cs="Times New Roman"/>
          <w:sz w:val="20"/>
          <w:szCs w:val="20"/>
        </w:rPr>
        <w:t>-</w:t>
      </w:r>
      <w:r w:rsidRPr="00EA5D0D">
        <w:rPr>
          <w:rFonts w:ascii="Times New Roman" w:eastAsia="Times New Roman" w:hAnsi="Times New Roman" w:cs="Times New Roman"/>
          <w:sz w:val="20"/>
          <w:szCs w:val="20"/>
        </w:rPr>
        <w:t xml:space="preserve"> </w:t>
      </w:r>
      <w:r w:rsidRPr="00EA5D0D">
        <w:rPr>
          <w:rFonts w:ascii="Times New Roman" w:eastAsia="Times New Roman" w:hAnsi="Times New Roman" w:cs="Times New Roman"/>
          <w:sz w:val="20"/>
          <w:szCs w:val="20"/>
        </w:rPr>
        <w:t>solid reactions; intrinsic kinetics of catalytic reactions; residence</w:t>
      </w:r>
      <w:r w:rsidRPr="00EA5D0D">
        <w:rPr>
          <w:rFonts w:ascii="Times New Roman" w:eastAsia="Times New Roman" w:hAnsi="Times New Roman" w:cs="Times New Roman"/>
          <w:sz w:val="20"/>
          <w:szCs w:val="20"/>
        </w:rPr>
        <w:t xml:space="preserve"> </w:t>
      </w:r>
      <w:r w:rsidRPr="00EA5D0D">
        <w:rPr>
          <w:rFonts w:ascii="Times New Roman" w:eastAsia="Times New Roman" w:hAnsi="Times New Roman" w:cs="Times New Roman"/>
          <w:sz w:val="20"/>
          <w:szCs w:val="20"/>
        </w:rPr>
        <w:t>time distribution models for micro-and macro-mixing;</w:t>
      </w:r>
      <w:r w:rsidRPr="00EA5D0D">
        <w:rPr>
          <w:rFonts w:ascii="Times New Roman" w:eastAsia="Times New Roman" w:hAnsi="Times New Roman" w:cs="Times New Roman"/>
          <w:sz w:val="20"/>
          <w:szCs w:val="20"/>
        </w:rPr>
        <w:t xml:space="preserve"> </w:t>
      </w:r>
      <w:r w:rsidRPr="00EA5D0D">
        <w:rPr>
          <w:rFonts w:ascii="Times New Roman" w:eastAsia="Times New Roman" w:hAnsi="Times New Roman" w:cs="Times New Roman"/>
          <w:sz w:val="20"/>
          <w:szCs w:val="20"/>
        </w:rPr>
        <w:t>mathematical models for gas-liquid-solid reactors; laboratory reactors;</w:t>
      </w:r>
      <w:r w:rsidRPr="00EA5D0D">
        <w:rPr>
          <w:rFonts w:ascii="Times New Roman" w:eastAsia="Times New Roman" w:hAnsi="Times New Roman" w:cs="Times New Roman"/>
          <w:sz w:val="20"/>
          <w:szCs w:val="20"/>
        </w:rPr>
        <w:t xml:space="preserve"> </w:t>
      </w:r>
      <w:r w:rsidRPr="00EA5D0D">
        <w:rPr>
          <w:rFonts w:ascii="Times New Roman" w:eastAsia="Times New Roman" w:hAnsi="Times New Roman" w:cs="Times New Roman"/>
          <w:sz w:val="20"/>
          <w:szCs w:val="20"/>
        </w:rPr>
        <w:t>dynamics and design of various multi-phase reactors</w:t>
      </w:r>
      <w:r w:rsidRPr="00EA5D0D">
        <w:rPr>
          <w:rFonts w:ascii="Times New Roman" w:eastAsia="Times New Roman" w:hAnsi="Times New Roman" w:cs="Times New Roman"/>
          <w:sz w:val="20"/>
          <w:szCs w:val="20"/>
        </w:rPr>
        <w:t xml:space="preserve"> </w:t>
      </w:r>
      <w:r w:rsidRPr="00EA5D0D">
        <w:rPr>
          <w:rFonts w:ascii="Times New Roman" w:eastAsia="Times New Roman" w:hAnsi="Times New Roman" w:cs="Times New Roman"/>
          <w:sz w:val="20"/>
          <w:szCs w:val="20"/>
        </w:rPr>
        <w:t>such as trickle bed reactors, bubble column reactors, segmented-</w:t>
      </w:r>
      <w:r w:rsidRPr="00EA5D0D">
        <w:rPr>
          <w:rFonts w:ascii="Times New Roman" w:eastAsia="Times New Roman" w:hAnsi="Times New Roman" w:cs="Times New Roman"/>
          <w:sz w:val="20"/>
          <w:szCs w:val="20"/>
        </w:rPr>
        <w:t xml:space="preserve"> </w:t>
      </w:r>
      <w:r w:rsidRPr="00EA5D0D">
        <w:rPr>
          <w:rFonts w:ascii="Times New Roman" w:eastAsia="Times New Roman" w:hAnsi="Times New Roman" w:cs="Times New Roman"/>
          <w:sz w:val="20"/>
          <w:szCs w:val="20"/>
        </w:rPr>
        <w:t>bed reactors, slurry reactors, spouted bed reactors, pulsating</w:t>
      </w:r>
      <w:r w:rsidRPr="00EA5D0D">
        <w:rPr>
          <w:rFonts w:ascii="Times New Roman" w:eastAsia="Times New Roman" w:hAnsi="Times New Roman" w:cs="Times New Roman"/>
          <w:sz w:val="20"/>
          <w:szCs w:val="20"/>
        </w:rPr>
        <w:t xml:space="preserve"> </w:t>
      </w:r>
      <w:r w:rsidRPr="00EA5D0D">
        <w:rPr>
          <w:rFonts w:ascii="Times New Roman" w:eastAsia="Times New Roman" w:hAnsi="Times New Roman" w:cs="Times New Roman"/>
          <w:sz w:val="20"/>
          <w:szCs w:val="20"/>
        </w:rPr>
        <w:t>reactors, fluidized bed reactors, etc.; optimization of chemical</w:t>
      </w:r>
      <w:r w:rsidRPr="00EA5D0D">
        <w:rPr>
          <w:rFonts w:ascii="Times New Roman" w:eastAsia="Times New Roman" w:hAnsi="Times New Roman" w:cs="Times New Roman"/>
          <w:sz w:val="20"/>
          <w:szCs w:val="20"/>
        </w:rPr>
        <w:t xml:space="preserve"> </w:t>
      </w:r>
      <w:r w:rsidRPr="00EA5D0D">
        <w:rPr>
          <w:rFonts w:ascii="Times New Roman" w:eastAsia="Times New Roman" w:hAnsi="Times New Roman" w:cs="Times New Roman"/>
          <w:sz w:val="20"/>
          <w:szCs w:val="20"/>
        </w:rPr>
        <w:t>reactors.</w:t>
      </w:r>
    </w:p>
    <w:p w:rsidR="00EA5D0D" w:rsidRDefault="00EA5D0D">
      <w:pPr>
        <w:widowControl w:val="0"/>
        <w:spacing w:after="0" w:line="257" w:lineRule="auto"/>
        <w:rPr>
          <w:rFonts w:ascii="Times New Roman" w:eastAsia="Times New Roman" w:hAnsi="Times New Roman" w:cs="Times New Roman"/>
          <w:sz w:val="20"/>
          <w:szCs w:val="20"/>
        </w:rPr>
      </w:pPr>
    </w:p>
    <w:p w:rsidR="00C32C6A" w:rsidRDefault="00EA5D0D" w:rsidP="00EA5D0D">
      <w:pPr>
        <w:widowControl w:val="0"/>
        <w:spacing w:after="0" w:line="25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6D5DD0">
        <w:rPr>
          <w:rFonts w:ascii="Times New Roman" w:eastAsia="Times New Roman" w:hAnsi="Times New Roman" w:cs="Times New Roman"/>
          <w:b/>
          <w:sz w:val="20"/>
          <w:szCs w:val="20"/>
        </w:rPr>
        <w:t>Scope &amp; Objective</w:t>
      </w:r>
    </w:p>
    <w:p w:rsidR="00C32C6A" w:rsidRDefault="00C32C6A">
      <w:pPr>
        <w:widowControl w:val="0"/>
        <w:spacing w:after="0" w:line="14" w:lineRule="auto"/>
        <w:rPr>
          <w:rFonts w:ascii="Times New Roman" w:eastAsia="Times New Roman" w:hAnsi="Times New Roman" w:cs="Times New Roman"/>
          <w:sz w:val="20"/>
          <w:szCs w:val="20"/>
        </w:rPr>
      </w:pPr>
    </w:p>
    <w:p w:rsidR="00C32C6A" w:rsidRDefault="006D5DD0">
      <w:pPr>
        <w:widowControl w:val="0"/>
        <w:spacing w:after="0" w:line="251" w:lineRule="auto"/>
        <w:ind w:left="120"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course includes basic and advanced topics in Chemical Reaction Engineering. The initial part of the course includes reaction mechanisms, basic reaction kinetics (like rate, concentration, conversion, and selectivity), and ideal reactor configurations.</w:t>
      </w:r>
      <w:r>
        <w:rPr>
          <w:rFonts w:ascii="Times New Roman" w:eastAsia="Times New Roman" w:hAnsi="Times New Roman" w:cs="Times New Roman"/>
          <w:sz w:val="20"/>
          <w:szCs w:val="20"/>
        </w:rPr>
        <w:t xml:space="preserve"> The design of catalytic and other multiphase reactors is elaborated. The characterization of non-ideal reactors and modeling of these, especially with reference to Residence Time Distribution (RTD Models) are dealt with. Thermal and Mass Transfer effects </w:t>
      </w:r>
      <w:r>
        <w:rPr>
          <w:rFonts w:ascii="Times New Roman" w:eastAsia="Times New Roman" w:hAnsi="Times New Roman" w:cs="Times New Roman"/>
          <w:sz w:val="20"/>
          <w:szCs w:val="20"/>
        </w:rPr>
        <w:t>are also explained in multi-phase reactors. The main objective of this course is to give the student a better understanding of Chemical Reaction Engineering of Multi-Phase Non-ideal reactors encountered in Industry from the point of view of design and perf</w:t>
      </w:r>
      <w:r>
        <w:rPr>
          <w:rFonts w:ascii="Times New Roman" w:eastAsia="Times New Roman" w:hAnsi="Times New Roman" w:cs="Times New Roman"/>
          <w:sz w:val="20"/>
          <w:szCs w:val="20"/>
        </w:rPr>
        <w:t>ormance evaluation of such actual reactors. Short projects/assignments and industrial visits shall be planned to imbibe the concepts learned better.</w:t>
      </w:r>
    </w:p>
    <w:p w:rsidR="00C32C6A" w:rsidRDefault="00C32C6A">
      <w:pPr>
        <w:widowControl w:val="0"/>
        <w:spacing w:after="0" w:line="251" w:lineRule="auto"/>
        <w:ind w:left="120" w:right="120"/>
        <w:jc w:val="both"/>
        <w:rPr>
          <w:rFonts w:ascii="Times New Roman" w:eastAsia="Times New Roman" w:hAnsi="Times New Roman" w:cs="Times New Roman"/>
          <w:sz w:val="20"/>
          <w:szCs w:val="20"/>
        </w:rPr>
      </w:pPr>
    </w:p>
    <w:p w:rsidR="00C32C6A" w:rsidRDefault="006D5DD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Learning outcomes: </w:t>
      </w:r>
    </w:p>
    <w:p w:rsidR="00C32C6A" w:rsidRDefault="006D5DD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studying this course, students will be able to</w:t>
      </w:r>
    </w:p>
    <w:p w:rsidR="00C32C6A" w:rsidRDefault="006D5DD0">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Have the knowledge to what kind o</w:t>
      </w:r>
      <w:r>
        <w:rPr>
          <w:rFonts w:ascii="Times New Roman" w:eastAsia="Times New Roman" w:hAnsi="Times New Roman" w:cs="Times New Roman"/>
          <w:sz w:val="20"/>
          <w:szCs w:val="20"/>
        </w:rPr>
        <w:t>f reactor system is to be used for what situation.</w:t>
      </w:r>
    </w:p>
    <w:p w:rsidR="00C32C6A" w:rsidRDefault="006D5DD0">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 will be able to analyze the kinetic related data to find the size of the reactor for a specific reaction</w:t>
      </w:r>
    </w:p>
    <w:p w:rsidR="00C32C6A" w:rsidRDefault="006D5DD0">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Lab exposer will help to know how to find the reaction kinetics of an unknown system</w:t>
      </w:r>
    </w:p>
    <w:p w:rsidR="00C32C6A" w:rsidRDefault="00C32C6A">
      <w:pPr>
        <w:widowControl w:val="0"/>
        <w:spacing w:after="0" w:line="251" w:lineRule="auto"/>
        <w:ind w:left="120" w:right="120"/>
        <w:jc w:val="both"/>
        <w:rPr>
          <w:rFonts w:ascii="Times New Roman" w:eastAsia="Times New Roman" w:hAnsi="Times New Roman" w:cs="Times New Roman"/>
          <w:sz w:val="20"/>
          <w:szCs w:val="20"/>
        </w:rPr>
      </w:pPr>
    </w:p>
    <w:p w:rsidR="00C32C6A" w:rsidRDefault="006D5DD0">
      <w:pPr>
        <w:widowControl w:val="0"/>
        <w:spacing w:after="0" w:line="240" w:lineRule="auto"/>
        <w:ind w:left="120"/>
        <w:rPr>
          <w:rFonts w:ascii="Times New Roman" w:eastAsia="Times New Roman" w:hAnsi="Times New Roman" w:cs="Times New Roman"/>
          <w:sz w:val="20"/>
          <w:szCs w:val="20"/>
        </w:rPr>
      </w:pPr>
      <w:r>
        <w:rPr>
          <w:rFonts w:ascii="Times New Roman" w:eastAsia="Times New Roman" w:hAnsi="Times New Roman" w:cs="Times New Roman"/>
          <w:b/>
          <w:sz w:val="20"/>
          <w:szCs w:val="20"/>
        </w:rPr>
        <w:t>Text B</w:t>
      </w:r>
      <w:r>
        <w:rPr>
          <w:rFonts w:ascii="Times New Roman" w:eastAsia="Times New Roman" w:hAnsi="Times New Roman" w:cs="Times New Roman"/>
          <w:b/>
          <w:sz w:val="20"/>
          <w:szCs w:val="20"/>
        </w:rPr>
        <w:t>ooks</w:t>
      </w:r>
    </w:p>
    <w:p w:rsidR="00C32C6A" w:rsidRDefault="00C32C6A">
      <w:pPr>
        <w:widowControl w:val="0"/>
        <w:spacing w:after="0" w:line="105" w:lineRule="auto"/>
        <w:rPr>
          <w:rFonts w:ascii="Times New Roman" w:eastAsia="Times New Roman" w:hAnsi="Times New Roman" w:cs="Times New Roman"/>
          <w:sz w:val="20"/>
          <w:szCs w:val="20"/>
        </w:rPr>
      </w:pPr>
    </w:p>
    <w:p w:rsidR="00C32C6A" w:rsidRDefault="006D5DD0">
      <w:pPr>
        <w:widowControl w:val="0"/>
        <w:tabs>
          <w:tab w:val="left" w:pos="820"/>
        </w:tabs>
        <w:spacing w:after="0" w:line="239" w:lineRule="auto"/>
        <w:ind w:left="840" w:right="120"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T1</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Levenspiel</w:t>
      </w:r>
      <w:proofErr w:type="spellEnd"/>
      <w:r>
        <w:rPr>
          <w:rFonts w:ascii="Times New Roman" w:eastAsia="Times New Roman" w:hAnsi="Times New Roman" w:cs="Times New Roman"/>
          <w:sz w:val="20"/>
          <w:szCs w:val="20"/>
        </w:rPr>
        <w:t xml:space="preserve">, Octave, </w:t>
      </w:r>
      <w:r>
        <w:rPr>
          <w:rFonts w:ascii="Times New Roman" w:eastAsia="Times New Roman" w:hAnsi="Times New Roman" w:cs="Times New Roman"/>
          <w:i/>
          <w:sz w:val="20"/>
          <w:szCs w:val="20"/>
        </w:rPr>
        <w:t>Chemical Reaction Engineering</w:t>
      </w:r>
      <w:r>
        <w:rPr>
          <w:rFonts w:ascii="Times New Roman" w:eastAsia="Times New Roman" w:hAnsi="Times New Roman" w:cs="Times New Roman"/>
          <w:sz w:val="20"/>
          <w:szCs w:val="20"/>
        </w:rPr>
        <w:t>, Wiley India Pvt. Ltd., New Delhi, 3</w:t>
      </w:r>
      <w:r>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Edition, 2000 (or higher edition if available!).</w:t>
      </w:r>
    </w:p>
    <w:p w:rsidR="00C32C6A" w:rsidRDefault="00C32C6A">
      <w:pPr>
        <w:widowControl w:val="0"/>
        <w:spacing w:after="0" w:line="95" w:lineRule="auto"/>
        <w:rPr>
          <w:rFonts w:ascii="Times New Roman" w:eastAsia="Times New Roman" w:hAnsi="Times New Roman" w:cs="Times New Roman"/>
          <w:sz w:val="20"/>
          <w:szCs w:val="20"/>
        </w:rPr>
      </w:pPr>
    </w:p>
    <w:p w:rsidR="00C32C6A" w:rsidRDefault="006D5DD0">
      <w:pPr>
        <w:widowControl w:val="0"/>
        <w:tabs>
          <w:tab w:val="left" w:pos="820"/>
        </w:tabs>
        <w:spacing w:after="0" w:line="293" w:lineRule="auto"/>
        <w:ind w:left="840" w:right="100"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T2</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Fogler</w:t>
      </w:r>
      <w:proofErr w:type="spellEnd"/>
      <w:r>
        <w:rPr>
          <w:rFonts w:ascii="Times New Roman" w:eastAsia="Times New Roman" w:hAnsi="Times New Roman" w:cs="Times New Roman"/>
          <w:sz w:val="20"/>
          <w:szCs w:val="20"/>
        </w:rPr>
        <w:t xml:space="preserve">, H. Scott, </w:t>
      </w:r>
      <w:r>
        <w:rPr>
          <w:rFonts w:ascii="Times New Roman" w:eastAsia="Times New Roman" w:hAnsi="Times New Roman" w:cs="Times New Roman"/>
          <w:i/>
          <w:sz w:val="20"/>
          <w:szCs w:val="20"/>
        </w:rPr>
        <w:t>Elements of Chemical Reaction Engineering</w:t>
      </w:r>
      <w:r>
        <w:rPr>
          <w:rFonts w:ascii="Times New Roman" w:eastAsia="Times New Roman" w:hAnsi="Times New Roman" w:cs="Times New Roman"/>
          <w:sz w:val="20"/>
          <w:szCs w:val="20"/>
        </w:rPr>
        <w:t>, Prentice-Hall of India Pvt. Ltd., New Delhi, 4</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Ed., 2006 (or higher edition if available!).</w:t>
      </w:r>
    </w:p>
    <w:p w:rsidR="00C32C6A" w:rsidRDefault="00C32C6A">
      <w:pPr>
        <w:widowControl w:val="0"/>
        <w:spacing w:after="0" w:line="74" w:lineRule="auto"/>
        <w:rPr>
          <w:rFonts w:ascii="Times New Roman" w:eastAsia="Times New Roman" w:hAnsi="Times New Roman" w:cs="Times New Roman"/>
          <w:sz w:val="20"/>
          <w:szCs w:val="20"/>
        </w:rPr>
      </w:pPr>
    </w:p>
    <w:p w:rsidR="00C32C6A" w:rsidRDefault="006D5DD0">
      <w:pPr>
        <w:widowControl w:val="0"/>
        <w:spacing w:after="0" w:line="240" w:lineRule="auto"/>
        <w:ind w:left="120"/>
        <w:rPr>
          <w:rFonts w:ascii="Times New Roman" w:eastAsia="Times New Roman" w:hAnsi="Times New Roman" w:cs="Times New Roman"/>
          <w:sz w:val="20"/>
          <w:szCs w:val="20"/>
        </w:rPr>
      </w:pPr>
      <w:r>
        <w:rPr>
          <w:rFonts w:ascii="Times New Roman" w:eastAsia="Times New Roman" w:hAnsi="Times New Roman" w:cs="Times New Roman"/>
          <w:b/>
          <w:sz w:val="20"/>
          <w:szCs w:val="20"/>
        </w:rPr>
        <w:t>Reference Books</w:t>
      </w:r>
    </w:p>
    <w:p w:rsidR="00C32C6A" w:rsidRDefault="00C32C6A">
      <w:pPr>
        <w:widowControl w:val="0"/>
        <w:spacing w:after="0" w:line="138" w:lineRule="auto"/>
        <w:rPr>
          <w:rFonts w:ascii="Times New Roman" w:eastAsia="Times New Roman" w:hAnsi="Times New Roman" w:cs="Times New Roman"/>
          <w:sz w:val="20"/>
          <w:szCs w:val="20"/>
        </w:rPr>
      </w:pPr>
    </w:p>
    <w:p w:rsidR="00C32C6A" w:rsidRDefault="006D5DD0">
      <w:pPr>
        <w:widowControl w:val="0"/>
        <w:tabs>
          <w:tab w:val="left" w:pos="820"/>
        </w:tabs>
        <w:spacing w:after="0" w:line="280" w:lineRule="auto"/>
        <w:ind w:left="840" w:right="120"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R1</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Salmi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Tapio</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Jyri-Pekka</w:t>
      </w:r>
      <w:proofErr w:type="spellEnd"/>
      <w:r>
        <w:rPr>
          <w:rFonts w:ascii="Times New Roman" w:eastAsia="Times New Roman" w:hAnsi="Times New Roman" w:cs="Times New Roman"/>
          <w:sz w:val="20"/>
          <w:szCs w:val="20"/>
        </w:rPr>
        <w:t xml:space="preserve"> M., and Johan P, W., </w:t>
      </w:r>
      <w:r>
        <w:rPr>
          <w:rFonts w:ascii="Times New Roman" w:eastAsia="Times New Roman" w:hAnsi="Times New Roman" w:cs="Times New Roman"/>
          <w:i/>
          <w:sz w:val="20"/>
          <w:szCs w:val="20"/>
        </w:rPr>
        <w:t>Chemical Reaction Engineering and Reactor</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Technology</w:t>
      </w:r>
      <w:r>
        <w:rPr>
          <w:rFonts w:ascii="Times New Roman" w:eastAsia="Times New Roman" w:hAnsi="Times New Roman" w:cs="Times New Roman"/>
          <w:sz w:val="20"/>
          <w:szCs w:val="20"/>
        </w:rPr>
        <w:t>, CRC Press, Taylor &amp;Francis, New York</w:t>
      </w:r>
      <w:r>
        <w:rPr>
          <w:rFonts w:ascii="Times New Roman" w:eastAsia="Times New Roman" w:hAnsi="Times New Roman" w:cs="Times New Roman"/>
          <w:sz w:val="20"/>
          <w:szCs w:val="20"/>
        </w:rPr>
        <w:t>, 2011 (or higher edition if available!).</w:t>
      </w:r>
    </w:p>
    <w:p w:rsidR="00C32C6A" w:rsidRDefault="00C32C6A">
      <w:pPr>
        <w:widowControl w:val="0"/>
        <w:spacing w:after="0" w:line="240" w:lineRule="auto"/>
        <w:ind w:left="120"/>
        <w:rPr>
          <w:rFonts w:ascii="Times New Roman" w:eastAsia="Times New Roman" w:hAnsi="Times New Roman" w:cs="Times New Roman"/>
          <w:b/>
          <w:sz w:val="20"/>
          <w:szCs w:val="20"/>
        </w:rPr>
      </w:pPr>
    </w:p>
    <w:p w:rsidR="00C32C6A" w:rsidRDefault="006D5DD0">
      <w:pPr>
        <w:widowControl w:val="0"/>
        <w:spacing w:after="0" w:line="240" w:lineRule="auto"/>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Plan</w:t>
      </w:r>
    </w:p>
    <w:p w:rsidR="00C32C6A" w:rsidRDefault="00C32C6A">
      <w:pPr>
        <w:widowControl w:val="0"/>
        <w:tabs>
          <w:tab w:val="left" w:pos="820"/>
        </w:tabs>
        <w:spacing w:after="0" w:line="280" w:lineRule="auto"/>
        <w:ind w:left="840" w:right="120" w:hanging="720"/>
        <w:jc w:val="both"/>
        <w:rPr>
          <w:rFonts w:ascii="Times New Roman" w:eastAsia="Times New Roman" w:hAnsi="Times New Roman" w:cs="Times New Roman"/>
          <w:sz w:val="20"/>
          <w:szCs w:val="20"/>
        </w:rPr>
      </w:pPr>
    </w:p>
    <w:tbl>
      <w:tblPr>
        <w:tblStyle w:val="a0"/>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3690"/>
        <w:gridCol w:w="2610"/>
        <w:gridCol w:w="2148"/>
      </w:tblGrid>
      <w:tr w:rsidR="00C32C6A">
        <w:tc>
          <w:tcPr>
            <w:tcW w:w="1008" w:type="dxa"/>
          </w:tcPr>
          <w:p w:rsidR="00C32C6A" w:rsidRDefault="006D5DD0">
            <w:pPr>
              <w:widowControl w:val="0"/>
              <w:tabs>
                <w:tab w:val="left" w:pos="820"/>
              </w:tabs>
              <w:spacing w:after="0"/>
              <w:ind w:righ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Lecture No.</w:t>
            </w:r>
          </w:p>
        </w:tc>
        <w:tc>
          <w:tcPr>
            <w:tcW w:w="3690" w:type="dxa"/>
          </w:tcPr>
          <w:p w:rsidR="00C32C6A" w:rsidRDefault="006D5DD0">
            <w:pPr>
              <w:widowControl w:val="0"/>
              <w:tabs>
                <w:tab w:val="left" w:pos="820"/>
              </w:tabs>
              <w:spacing w:after="0"/>
              <w:ind w:righ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Learning Objectives</w:t>
            </w:r>
          </w:p>
        </w:tc>
        <w:tc>
          <w:tcPr>
            <w:tcW w:w="2610" w:type="dxa"/>
          </w:tcPr>
          <w:p w:rsidR="00C32C6A" w:rsidRDefault="006D5DD0">
            <w:pPr>
              <w:widowControl w:val="0"/>
              <w:tabs>
                <w:tab w:val="left" w:pos="820"/>
              </w:tabs>
              <w:spacing w:after="0"/>
              <w:ind w:righ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Topics to be covered</w:t>
            </w:r>
          </w:p>
        </w:tc>
        <w:tc>
          <w:tcPr>
            <w:tcW w:w="2148" w:type="dxa"/>
          </w:tcPr>
          <w:p w:rsidR="00C32C6A" w:rsidRDefault="006D5DD0">
            <w:pPr>
              <w:widowControl w:val="0"/>
              <w:tabs>
                <w:tab w:val="left" w:pos="820"/>
              </w:tabs>
              <w:spacing w:after="0"/>
              <w:ind w:righ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C32C6A">
        <w:tc>
          <w:tcPr>
            <w:tcW w:w="100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3690"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Review of chemical kinetics and ideal reactor concepts and ideal reactor designs, conversion, and sizing of ideal reactors including multiple reactors in series or parallel</w:t>
            </w:r>
          </w:p>
        </w:tc>
        <w:tc>
          <w:tcPr>
            <w:tcW w:w="2610"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Review of kinetics and ideal reactors</w:t>
            </w:r>
          </w:p>
        </w:tc>
        <w:tc>
          <w:tcPr>
            <w:tcW w:w="214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1-8 of T1</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1-3 of T2</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w:t>
            </w:r>
            <w:r>
              <w:rPr>
                <w:rFonts w:ascii="Times New Roman" w:eastAsia="Times New Roman" w:hAnsi="Times New Roman" w:cs="Times New Roman"/>
                <w:sz w:val="20"/>
                <w:szCs w:val="20"/>
              </w:rPr>
              <w:t>. 1-3 of R1</w:t>
            </w:r>
          </w:p>
        </w:tc>
      </w:tr>
      <w:tr w:rsidR="00C32C6A">
        <w:tc>
          <w:tcPr>
            <w:tcW w:w="100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7-10</w:t>
            </w:r>
          </w:p>
        </w:tc>
        <w:tc>
          <w:tcPr>
            <w:tcW w:w="3690"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Reaction mechanisms, elementary and non-elementary homogeneous reactions, order of reactions</w:t>
            </w:r>
          </w:p>
        </w:tc>
        <w:tc>
          <w:tcPr>
            <w:tcW w:w="2610"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Review of mechanism of reactions, order, and effect on reactor design</w:t>
            </w:r>
          </w:p>
        </w:tc>
        <w:tc>
          <w:tcPr>
            <w:tcW w:w="214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1 of T1</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7 of T2</w:t>
            </w:r>
          </w:p>
        </w:tc>
      </w:tr>
      <w:tr w:rsidR="00C32C6A">
        <w:tc>
          <w:tcPr>
            <w:tcW w:w="1008"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10-12</w:t>
            </w:r>
          </w:p>
        </w:tc>
        <w:tc>
          <w:tcPr>
            <w:tcW w:w="369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Laboratory reactors, collection, and </w:t>
            </w:r>
            <w:r>
              <w:rPr>
                <w:rFonts w:ascii="Times New Roman" w:eastAsia="Times New Roman" w:hAnsi="Times New Roman" w:cs="Times New Roman"/>
                <w:sz w:val="20"/>
                <w:szCs w:val="20"/>
              </w:rPr>
              <w:lastRenderedPageBreak/>
              <w:t>analysis of rate data</w:t>
            </w:r>
          </w:p>
        </w:tc>
        <w:tc>
          <w:tcPr>
            <w:tcW w:w="261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Rate models and rate </w:t>
            </w:r>
            <w:r>
              <w:rPr>
                <w:rFonts w:ascii="Times New Roman" w:eastAsia="Times New Roman" w:hAnsi="Times New Roman" w:cs="Times New Roman"/>
                <w:sz w:val="20"/>
                <w:szCs w:val="20"/>
              </w:rPr>
              <w:lastRenderedPageBreak/>
              <w:t>expressions, Laboratory data analysis and Interpretation</w:t>
            </w:r>
          </w:p>
        </w:tc>
        <w:tc>
          <w:tcPr>
            <w:tcW w:w="214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Chap No. 1 of T1</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Chap No. 5 of T2</w:t>
            </w:r>
          </w:p>
        </w:tc>
      </w:tr>
      <w:tr w:rsidR="00C32C6A">
        <w:tc>
          <w:tcPr>
            <w:tcW w:w="1008"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13-19</w:t>
            </w:r>
          </w:p>
        </w:tc>
        <w:tc>
          <w:tcPr>
            <w:tcW w:w="369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Multiple reactions – series-parallel and effect on ideal reactor design</w:t>
            </w:r>
          </w:p>
        </w:tc>
        <w:tc>
          <w:tcPr>
            <w:tcW w:w="261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Multiple reactions</w:t>
            </w:r>
          </w:p>
        </w:tc>
        <w:tc>
          <w:tcPr>
            <w:tcW w:w="214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7-8 of T1</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6 of T2</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4 of R1</w:t>
            </w:r>
          </w:p>
        </w:tc>
      </w:tr>
      <w:tr w:rsidR="00C32C6A">
        <w:tc>
          <w:tcPr>
            <w:tcW w:w="1008"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369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Temperature and pressure effects on single and multiple reactions</w:t>
            </w:r>
          </w:p>
        </w:tc>
        <w:tc>
          <w:tcPr>
            <w:tcW w:w="261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Effects of temperature and pressure</w:t>
            </w:r>
          </w:p>
        </w:tc>
        <w:tc>
          <w:tcPr>
            <w:tcW w:w="214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9 of T1</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5 of R1</w:t>
            </w:r>
          </w:p>
        </w:tc>
      </w:tr>
      <w:tr w:rsidR="00C32C6A">
        <w:tc>
          <w:tcPr>
            <w:tcW w:w="1008"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22-24</w:t>
            </w:r>
          </w:p>
        </w:tc>
        <w:tc>
          <w:tcPr>
            <w:tcW w:w="369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Catalysis and Catalytic reactors, catalyst deactivation, fouling, poisons, mitigations</w:t>
            </w:r>
          </w:p>
        </w:tc>
        <w:tc>
          <w:tcPr>
            <w:tcW w:w="261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Heterogeneous catalysis introduction</w:t>
            </w:r>
          </w:p>
        </w:tc>
        <w:tc>
          <w:tcPr>
            <w:tcW w:w="214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17-19 of T1</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10 of T2</w:t>
            </w:r>
          </w:p>
        </w:tc>
      </w:tr>
      <w:tr w:rsidR="00C32C6A">
        <w:tc>
          <w:tcPr>
            <w:tcW w:w="1008"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25-29</w:t>
            </w:r>
          </w:p>
        </w:tc>
        <w:tc>
          <w:tcPr>
            <w:tcW w:w="369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Packed bed catalytic reactors and external and internal diffusion</w:t>
            </w:r>
          </w:p>
        </w:tc>
        <w:tc>
          <w:tcPr>
            <w:tcW w:w="261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Heterogeneous cataly</w:t>
            </w:r>
            <w:r>
              <w:rPr>
                <w:rFonts w:ascii="Times New Roman" w:eastAsia="Times New Roman" w:hAnsi="Times New Roman" w:cs="Times New Roman"/>
                <w:sz w:val="20"/>
                <w:szCs w:val="20"/>
              </w:rPr>
              <w:t xml:space="preserve">sis with mass transfer </w:t>
            </w:r>
          </w:p>
        </w:tc>
        <w:tc>
          <w:tcPr>
            <w:tcW w:w="214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19 of T1</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10-11 of T2</w:t>
            </w:r>
          </w:p>
        </w:tc>
      </w:tr>
      <w:tr w:rsidR="00C32C6A">
        <w:tc>
          <w:tcPr>
            <w:tcW w:w="1008"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30-32</w:t>
            </w:r>
          </w:p>
        </w:tc>
        <w:tc>
          <w:tcPr>
            <w:tcW w:w="369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Multiphase reactors including gas-solid and liquid slurry, bubble columns and fluid bed reactors, trickle bed reactors</w:t>
            </w:r>
          </w:p>
        </w:tc>
        <w:tc>
          <w:tcPr>
            <w:tcW w:w="261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Multiphase catalytic reactors</w:t>
            </w:r>
          </w:p>
        </w:tc>
        <w:tc>
          <w:tcPr>
            <w:tcW w:w="214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20-22 of T1</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12 of T2</w:t>
            </w:r>
          </w:p>
        </w:tc>
      </w:tr>
      <w:tr w:rsidR="00C32C6A">
        <w:tc>
          <w:tcPr>
            <w:tcW w:w="1008"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33-35</w:t>
            </w:r>
          </w:p>
        </w:tc>
        <w:tc>
          <w:tcPr>
            <w:tcW w:w="369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Non-Catalytic systems, fluid-fluid, fluid-particle kinetics and reactor design</w:t>
            </w:r>
          </w:p>
        </w:tc>
        <w:tc>
          <w:tcPr>
            <w:tcW w:w="261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Multi-phase non-catalytic reactors</w:t>
            </w:r>
          </w:p>
        </w:tc>
        <w:tc>
          <w:tcPr>
            <w:tcW w:w="214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23-26 of T1</w:t>
            </w:r>
          </w:p>
        </w:tc>
      </w:tr>
      <w:tr w:rsidR="00C32C6A">
        <w:tc>
          <w:tcPr>
            <w:tcW w:w="1008"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36-41</w:t>
            </w:r>
          </w:p>
        </w:tc>
        <w:tc>
          <w:tcPr>
            <w:tcW w:w="369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Tracers, methods of obtaining Residence time Distribution (RTD), models for flow patterns</w:t>
            </w:r>
          </w:p>
        </w:tc>
        <w:tc>
          <w:tcPr>
            <w:tcW w:w="2610" w:type="dxa"/>
          </w:tcPr>
          <w:p w:rsidR="00C32C6A" w:rsidRDefault="006D5DD0">
            <w:pPr>
              <w:widowControl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Residence time Distribution (Macro mixing)</w:t>
            </w:r>
          </w:p>
        </w:tc>
        <w:tc>
          <w:tcPr>
            <w:tcW w:w="2148" w:type="dxa"/>
          </w:tcPr>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11-16 of T1</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13-14 of T2</w:t>
            </w:r>
          </w:p>
          <w:p w:rsidR="00C32C6A" w:rsidRDefault="006D5DD0">
            <w:pPr>
              <w:widowControl w:val="0"/>
              <w:tabs>
                <w:tab w:val="left" w:pos="820"/>
              </w:tabs>
              <w:spacing w:after="0"/>
              <w:ind w:right="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 No. 6 of R1</w:t>
            </w:r>
          </w:p>
        </w:tc>
      </w:tr>
    </w:tbl>
    <w:p w:rsidR="00C32C6A" w:rsidRDefault="00C32C6A">
      <w:pPr>
        <w:jc w:val="both"/>
        <w:rPr>
          <w:rFonts w:ascii="Times New Roman" w:eastAsia="Times New Roman" w:hAnsi="Times New Roman" w:cs="Times New Roman"/>
          <w:b/>
          <w:sz w:val="20"/>
          <w:szCs w:val="20"/>
        </w:rPr>
      </w:pPr>
    </w:p>
    <w:p w:rsidR="00C32C6A" w:rsidRDefault="006D5DD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Lab experiments:</w:t>
      </w:r>
    </w:p>
    <w:tbl>
      <w:tblPr>
        <w:tblStyle w:val="a1"/>
        <w:tblW w:w="8847"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227"/>
      </w:tblGrid>
      <w:tr w:rsidR="00C32C6A">
        <w:trPr>
          <w:trHeight w:val="242"/>
        </w:trPr>
        <w:tc>
          <w:tcPr>
            <w:tcW w:w="1620" w:type="dxa"/>
            <w:shd w:val="clear" w:color="auto" w:fill="auto"/>
          </w:tcPr>
          <w:p w:rsidR="00C32C6A" w:rsidRDefault="006D5DD0">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Lab Name</w:t>
            </w:r>
          </w:p>
        </w:tc>
        <w:tc>
          <w:tcPr>
            <w:tcW w:w="7227" w:type="dxa"/>
            <w:shd w:val="clear" w:color="auto" w:fill="auto"/>
          </w:tcPr>
          <w:p w:rsidR="00C32C6A" w:rsidRDefault="006D5DD0">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Experiment Name &amp; Objective</w:t>
            </w:r>
          </w:p>
        </w:tc>
      </w:tr>
      <w:tr w:rsidR="00C32C6A">
        <w:trPr>
          <w:trHeight w:val="323"/>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Batch Reactor: To study the order and rate constant for the reaction between KOH and ethyl acetate in a batch reactor @30 °C.  </w:t>
            </w:r>
          </w:p>
        </w:tc>
      </w:tr>
      <w:tr w:rsidR="00C32C6A">
        <w:trPr>
          <w:trHeight w:val="620"/>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Batch Reactor: To study the order and rate constant for the reaction between KOH and ethyl acetate in a batch reactor @40 °C.  </w:t>
            </w:r>
          </w:p>
        </w:tc>
      </w:tr>
      <w:tr w:rsidR="00C32C6A">
        <w:trPr>
          <w:trHeight w:val="620"/>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Batch Reactor: To study the order and rate constant for the reaction between KOH and ethyl acetate in a batch reactor @</w:t>
            </w:r>
            <w:r>
              <w:rPr>
                <w:rFonts w:ascii="Times New Roman" w:eastAsia="Times New Roman" w:hAnsi="Times New Roman" w:cs="Times New Roman"/>
                <w:sz w:val="20"/>
                <w:szCs w:val="20"/>
              </w:rPr>
              <w:t xml:space="preserve">50 °C.  </w:t>
            </w:r>
          </w:p>
        </w:tc>
      </w:tr>
      <w:tr w:rsidR="00C32C6A">
        <w:trPr>
          <w:trHeight w:val="620"/>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Batch Reactor: To study the order and rate constant for the reaction between KOH and butyl acetate in a batch reactor @30 °C.  </w:t>
            </w:r>
          </w:p>
        </w:tc>
      </w:tr>
      <w:tr w:rsidR="00C32C6A">
        <w:trPr>
          <w:trHeight w:val="530"/>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Continuous Stirred Tank Reactor: To study the order and rate constant for the reaction between KOH an</w:t>
            </w:r>
            <w:r>
              <w:rPr>
                <w:rFonts w:ascii="Times New Roman" w:eastAsia="Times New Roman" w:hAnsi="Times New Roman" w:cs="Times New Roman"/>
                <w:sz w:val="20"/>
                <w:szCs w:val="20"/>
              </w:rPr>
              <w:t xml:space="preserve">d ethyl acetate in a CSTR @ 30 °C.                 </w:t>
            </w:r>
          </w:p>
        </w:tc>
      </w:tr>
      <w:tr w:rsidR="00C32C6A">
        <w:trPr>
          <w:trHeight w:val="512"/>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Plug Flow Reactor: To study the order and rate constant for the reaction between KOH and ethyl acetate in a PFR @ 30 °C.</w:t>
            </w:r>
          </w:p>
        </w:tc>
      </w:tr>
      <w:tr w:rsidR="00C32C6A">
        <w:trPr>
          <w:trHeight w:val="163"/>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RTD study using CSTR</w:t>
            </w:r>
          </w:p>
        </w:tc>
      </w:tr>
      <w:tr w:rsidR="00C32C6A">
        <w:trPr>
          <w:trHeight w:val="343"/>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RTD study using PFR</w:t>
            </w:r>
          </w:p>
        </w:tc>
      </w:tr>
      <w:tr w:rsidR="00C32C6A">
        <w:trPr>
          <w:trHeight w:val="271"/>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To find conversion of a reaction using spectrophotometric method</w:t>
            </w:r>
          </w:p>
        </w:tc>
      </w:tr>
      <w:tr w:rsidR="00C32C6A">
        <w:trPr>
          <w:trHeight w:val="253"/>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To find conversion of a reaction using GC analysis</w:t>
            </w:r>
          </w:p>
        </w:tc>
      </w:tr>
      <w:tr w:rsidR="00C32C6A">
        <w:trPr>
          <w:trHeight w:val="253"/>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Multiphase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 find the adsorption capacity of an adsorbent for adsorption of a gas on solid adsorbent</w:t>
            </w:r>
          </w:p>
        </w:tc>
      </w:tr>
      <w:tr w:rsidR="00C32C6A">
        <w:trPr>
          <w:trHeight w:val="253"/>
        </w:trPr>
        <w:tc>
          <w:tcPr>
            <w:tcW w:w="1620"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Petroleum lab</w:t>
            </w:r>
          </w:p>
        </w:tc>
        <w:tc>
          <w:tcPr>
            <w:tcW w:w="7227" w:type="dxa"/>
            <w:shd w:val="clear" w:color="auto" w:fill="auto"/>
          </w:tcPr>
          <w:p w:rsidR="00C32C6A" w:rsidRDefault="006D5DD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Cracking of liquid fuel</w:t>
            </w:r>
          </w:p>
        </w:tc>
      </w:tr>
    </w:tbl>
    <w:p w:rsidR="00C32C6A" w:rsidRDefault="00C32C6A">
      <w:pPr>
        <w:widowControl w:val="0"/>
        <w:spacing w:after="0" w:line="240" w:lineRule="auto"/>
        <w:rPr>
          <w:rFonts w:ascii="Times New Roman" w:eastAsia="Times New Roman" w:hAnsi="Times New Roman" w:cs="Times New Roman"/>
          <w:b/>
          <w:sz w:val="20"/>
          <w:szCs w:val="20"/>
        </w:rPr>
      </w:pPr>
    </w:p>
    <w:p w:rsidR="00C32C6A" w:rsidRDefault="006D5DD0">
      <w:pPr>
        <w:widowControl w:val="0"/>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Evaluation scheme</w:t>
      </w:r>
    </w:p>
    <w:p w:rsidR="00C32C6A" w:rsidRDefault="00C32C6A">
      <w:pPr>
        <w:widowControl w:val="0"/>
        <w:spacing w:after="0" w:line="240" w:lineRule="auto"/>
        <w:rPr>
          <w:rFonts w:ascii="Times New Roman" w:eastAsia="Times New Roman" w:hAnsi="Times New Roman" w:cs="Times New Roman"/>
          <w:b/>
          <w:sz w:val="20"/>
          <w:szCs w:val="20"/>
        </w:rPr>
      </w:pPr>
    </w:p>
    <w:tbl>
      <w:tblPr>
        <w:tblStyle w:val="a2"/>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520"/>
        <w:gridCol w:w="1080"/>
        <w:gridCol w:w="1440"/>
        <w:gridCol w:w="1791"/>
        <w:gridCol w:w="1985"/>
      </w:tblGrid>
      <w:tr w:rsidR="00C32C6A">
        <w:tc>
          <w:tcPr>
            <w:tcW w:w="54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EC </w:t>
            </w:r>
          </w:p>
        </w:tc>
        <w:tc>
          <w:tcPr>
            <w:tcW w:w="252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Evaluation Component</w:t>
            </w:r>
          </w:p>
        </w:tc>
        <w:tc>
          <w:tcPr>
            <w:tcW w:w="108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Duration</w:t>
            </w:r>
          </w:p>
        </w:tc>
        <w:tc>
          <w:tcPr>
            <w:tcW w:w="144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Weightage, %</w:t>
            </w:r>
          </w:p>
        </w:tc>
        <w:tc>
          <w:tcPr>
            <w:tcW w:w="1791"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Date, Time </w:t>
            </w:r>
          </w:p>
        </w:tc>
        <w:tc>
          <w:tcPr>
            <w:tcW w:w="1985"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Remarks</w:t>
            </w:r>
          </w:p>
        </w:tc>
      </w:tr>
      <w:tr w:rsidR="00C32C6A">
        <w:tc>
          <w:tcPr>
            <w:tcW w:w="540" w:type="dxa"/>
          </w:tcPr>
          <w:p w:rsidR="00C32C6A" w:rsidRDefault="006D5DD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2520" w:type="dxa"/>
          </w:tcPr>
          <w:p w:rsidR="00C32C6A" w:rsidRDefault="006D5DD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Mid </w:t>
            </w:r>
            <w:proofErr w:type="spellStart"/>
            <w:r>
              <w:rPr>
                <w:rFonts w:ascii="Times New Roman" w:eastAsia="Times New Roman" w:hAnsi="Times New Roman" w:cs="Times New Roman"/>
                <w:color w:val="000000"/>
                <w:sz w:val="20"/>
                <w:szCs w:val="20"/>
              </w:rPr>
              <w:t>sem</w:t>
            </w:r>
            <w:proofErr w:type="spellEnd"/>
          </w:p>
        </w:tc>
        <w:tc>
          <w:tcPr>
            <w:tcW w:w="108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 min</w:t>
            </w:r>
          </w:p>
        </w:tc>
        <w:tc>
          <w:tcPr>
            <w:tcW w:w="144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1791" w:type="dxa"/>
          </w:tcPr>
          <w:p w:rsidR="00C32C6A" w:rsidRDefault="006D5D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 per Timetable</w:t>
            </w:r>
          </w:p>
        </w:tc>
        <w:tc>
          <w:tcPr>
            <w:tcW w:w="1985" w:type="dxa"/>
          </w:tcPr>
          <w:p w:rsidR="00C32C6A" w:rsidRDefault="006D5D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OB</w:t>
            </w:r>
          </w:p>
        </w:tc>
      </w:tr>
      <w:tr w:rsidR="00C32C6A">
        <w:trPr>
          <w:trHeight w:val="125"/>
        </w:trPr>
        <w:tc>
          <w:tcPr>
            <w:tcW w:w="540" w:type="dxa"/>
          </w:tcPr>
          <w:p w:rsidR="00C32C6A" w:rsidRDefault="006D5DD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2520" w:type="dxa"/>
          </w:tcPr>
          <w:p w:rsidR="00C32C6A" w:rsidRDefault="006D5DD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Comprehensive</w:t>
            </w:r>
          </w:p>
        </w:tc>
        <w:tc>
          <w:tcPr>
            <w:tcW w:w="108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sz w:val="20"/>
                <w:szCs w:val="20"/>
              </w:rPr>
              <w:t>2</w:t>
            </w:r>
            <w:r>
              <w:rPr>
                <w:rFonts w:ascii="Times New Roman" w:eastAsia="Times New Roman" w:hAnsi="Times New Roman" w:cs="Times New Roman"/>
                <w:color w:val="000000"/>
                <w:sz w:val="20"/>
                <w:szCs w:val="20"/>
              </w:rPr>
              <w:t>0 min</w:t>
            </w:r>
          </w:p>
        </w:tc>
        <w:tc>
          <w:tcPr>
            <w:tcW w:w="144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1791" w:type="dxa"/>
          </w:tcPr>
          <w:p w:rsidR="00C32C6A" w:rsidRDefault="006D5D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 per Timetable</w:t>
            </w:r>
          </w:p>
        </w:tc>
        <w:tc>
          <w:tcPr>
            <w:tcW w:w="1985" w:type="dxa"/>
          </w:tcPr>
          <w:p w:rsidR="00C32C6A" w:rsidRDefault="006D5D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 CB &amp; 20% OB</w:t>
            </w:r>
          </w:p>
        </w:tc>
      </w:tr>
      <w:tr w:rsidR="00C32C6A">
        <w:tc>
          <w:tcPr>
            <w:tcW w:w="540" w:type="dxa"/>
          </w:tcPr>
          <w:p w:rsidR="00C32C6A" w:rsidRDefault="006D5DD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2520" w:type="dxa"/>
          </w:tcPr>
          <w:p w:rsidR="00C32C6A" w:rsidRDefault="006D5DD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&amp; / seminars</w:t>
            </w:r>
          </w:p>
        </w:tc>
        <w:tc>
          <w:tcPr>
            <w:tcW w:w="108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44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791"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will be announced in class</w:t>
            </w:r>
          </w:p>
        </w:tc>
        <w:tc>
          <w:tcPr>
            <w:tcW w:w="1985" w:type="dxa"/>
          </w:tcPr>
          <w:p w:rsidR="00C32C6A" w:rsidRDefault="006D5DD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OB</w:t>
            </w:r>
          </w:p>
        </w:tc>
      </w:tr>
      <w:tr w:rsidR="00C32C6A">
        <w:tc>
          <w:tcPr>
            <w:tcW w:w="54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520" w:type="dxa"/>
          </w:tcPr>
          <w:p w:rsidR="00C32C6A" w:rsidRDefault="006D5DD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quizzes</w:t>
            </w:r>
          </w:p>
        </w:tc>
        <w:tc>
          <w:tcPr>
            <w:tcW w:w="108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44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791"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will be announced in class</w:t>
            </w:r>
          </w:p>
        </w:tc>
        <w:tc>
          <w:tcPr>
            <w:tcW w:w="1985"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CB</w:t>
            </w:r>
          </w:p>
        </w:tc>
      </w:tr>
      <w:tr w:rsidR="00C32C6A">
        <w:tc>
          <w:tcPr>
            <w:tcW w:w="54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520" w:type="dxa"/>
          </w:tcPr>
          <w:p w:rsidR="00C32C6A" w:rsidRDefault="006D5DD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Lab experiments</w:t>
            </w:r>
          </w:p>
        </w:tc>
        <w:tc>
          <w:tcPr>
            <w:tcW w:w="108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440"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1791" w:type="dxa"/>
          </w:tcPr>
          <w:p w:rsidR="00C32C6A" w:rsidRDefault="00C32C6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tc>
        <w:tc>
          <w:tcPr>
            <w:tcW w:w="1985" w:type="dxa"/>
          </w:tcPr>
          <w:p w:rsidR="00C32C6A" w:rsidRDefault="006D5DD0">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OB</w:t>
            </w:r>
          </w:p>
        </w:tc>
      </w:tr>
    </w:tbl>
    <w:p w:rsidR="00C32C6A" w:rsidRDefault="00C32C6A">
      <w:pPr>
        <w:widowControl w:val="0"/>
        <w:spacing w:after="0" w:line="240" w:lineRule="auto"/>
        <w:rPr>
          <w:rFonts w:ascii="Times New Roman" w:eastAsia="Times New Roman" w:hAnsi="Times New Roman" w:cs="Times New Roman"/>
          <w:b/>
          <w:sz w:val="20"/>
          <w:szCs w:val="20"/>
        </w:rPr>
      </w:pPr>
      <w:bookmarkStart w:id="0" w:name="_GoBack"/>
      <w:bookmarkEnd w:id="0"/>
    </w:p>
    <w:p w:rsidR="00C32C6A" w:rsidRDefault="006D5DD0">
      <w:pPr>
        <w:widowControl w:val="0"/>
        <w:numPr>
          <w:ilvl w:val="0"/>
          <w:numId w:val="1"/>
        </w:numPr>
        <w:pBdr>
          <w:top w:val="nil"/>
          <w:left w:val="nil"/>
          <w:bottom w:val="nil"/>
          <w:right w:val="nil"/>
          <w:between w:val="nil"/>
        </w:pBdr>
        <w:spacing w:after="0" w:line="240" w:lineRule="auto"/>
        <w:ind w:left="284" w:hanging="284"/>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Min. marks required to secure a valid grade is above 10% of the total marks.</w:t>
      </w:r>
    </w:p>
    <w:p w:rsidR="00C32C6A" w:rsidRDefault="006D5DD0">
      <w:pPr>
        <w:widowControl w:val="0"/>
        <w:numPr>
          <w:ilvl w:val="0"/>
          <w:numId w:val="1"/>
        </w:numPr>
        <w:spacing w:after="0" w:line="240" w:lineRule="auto"/>
        <w:ind w:left="284" w:hanging="284"/>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Chamber consultation hour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will be announced in the class.</w:t>
      </w:r>
      <w:r>
        <w:rPr>
          <w:rFonts w:ascii="Times New Roman" w:eastAsia="Times New Roman" w:hAnsi="Times New Roman" w:cs="Times New Roman"/>
          <w:b/>
          <w:sz w:val="20"/>
          <w:szCs w:val="20"/>
        </w:rPr>
        <w:t xml:space="preserve"> </w:t>
      </w:r>
    </w:p>
    <w:p w:rsidR="00C32C6A" w:rsidRDefault="00C32C6A">
      <w:pPr>
        <w:widowControl w:val="0"/>
        <w:spacing w:after="0" w:line="14" w:lineRule="auto"/>
        <w:ind w:left="284" w:hanging="284"/>
        <w:jc w:val="both"/>
        <w:rPr>
          <w:rFonts w:ascii="Times New Roman" w:eastAsia="Times New Roman" w:hAnsi="Times New Roman" w:cs="Times New Roman"/>
          <w:sz w:val="20"/>
          <w:szCs w:val="20"/>
        </w:rPr>
      </w:pPr>
    </w:p>
    <w:p w:rsidR="00C32C6A" w:rsidRDefault="006D5DD0">
      <w:pPr>
        <w:widowControl w:val="0"/>
        <w:numPr>
          <w:ilvl w:val="0"/>
          <w:numId w:val="1"/>
        </w:numPr>
        <w:spacing w:after="0" w:line="255" w:lineRule="auto"/>
        <w:ind w:left="284" w:right="120"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b/>
          <w:sz w:val="20"/>
          <w:szCs w:val="20"/>
          <w:u w:val="single"/>
        </w:rPr>
        <w:t>notices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if any</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concerning the course, will be displayed on CMS /Departmental notice board.</w:t>
      </w:r>
      <w:r>
        <w:rPr>
          <w:rFonts w:ascii="Times New Roman" w:eastAsia="Times New Roman" w:hAnsi="Times New Roman" w:cs="Times New Roman"/>
          <w:b/>
          <w:sz w:val="20"/>
          <w:szCs w:val="20"/>
        </w:rPr>
        <w:t xml:space="preserve"> </w:t>
      </w:r>
    </w:p>
    <w:p w:rsidR="00C32C6A" w:rsidRDefault="00C32C6A">
      <w:pPr>
        <w:widowControl w:val="0"/>
        <w:spacing w:after="0" w:line="25" w:lineRule="auto"/>
        <w:ind w:left="284" w:hanging="284"/>
        <w:jc w:val="both"/>
        <w:rPr>
          <w:rFonts w:ascii="Times New Roman" w:eastAsia="Times New Roman" w:hAnsi="Times New Roman" w:cs="Times New Roman"/>
          <w:sz w:val="20"/>
          <w:szCs w:val="20"/>
        </w:rPr>
      </w:pPr>
    </w:p>
    <w:p w:rsidR="00C32C6A" w:rsidRDefault="006D5DD0">
      <w:pPr>
        <w:widowControl w:val="0"/>
        <w:numPr>
          <w:ilvl w:val="0"/>
          <w:numId w:val="1"/>
        </w:numPr>
        <w:spacing w:after="0" w:line="222" w:lineRule="auto"/>
        <w:ind w:left="284" w:right="120" w:hanging="284"/>
        <w:jc w:val="both"/>
        <w:rPr>
          <w:rFonts w:ascii="Times New Roman" w:eastAsia="Times New Roman" w:hAnsi="Times New Roman" w:cs="Times New Roman"/>
          <w:sz w:val="20"/>
          <w:szCs w:val="20"/>
        </w:rPr>
      </w:pPr>
      <w:bookmarkStart w:id="1" w:name="_heading=h.gjdgxs" w:colFirst="0" w:colLast="0"/>
      <w:bookmarkEnd w:id="1"/>
      <w:r>
        <w:rPr>
          <w:rFonts w:ascii="Times New Roman" w:eastAsia="Times New Roman" w:hAnsi="Times New Roman" w:cs="Times New Roman"/>
          <w:b/>
          <w:sz w:val="20"/>
          <w:szCs w:val="20"/>
          <w:u w:val="single"/>
        </w:rPr>
        <w:t>Make-up</w:t>
      </w:r>
      <w:r>
        <w:rPr>
          <w:rFonts w:ascii="Times New Roman" w:eastAsia="Times New Roman" w:hAnsi="Times New Roman" w:cs="Times New Roman"/>
          <w:b/>
          <w:sz w:val="20"/>
          <w:szCs w:val="20"/>
        </w:rPr>
        <w:t xml:space="preserve"> for mid &amp; comprehensive </w:t>
      </w:r>
      <w:r>
        <w:rPr>
          <w:rFonts w:ascii="Times New Roman" w:eastAsia="Times New Roman" w:hAnsi="Times New Roman" w:cs="Times New Roman"/>
          <w:sz w:val="20"/>
          <w:szCs w:val="20"/>
        </w:rPr>
        <w:t>will be granted for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 xml:space="preserve">genuine cases with </w:t>
      </w:r>
      <w:r>
        <w:rPr>
          <w:rFonts w:ascii="Times New Roman" w:eastAsia="Times New Roman" w:hAnsi="Times New Roman" w:cs="Times New Roman"/>
          <w:sz w:val="20"/>
          <w:szCs w:val="20"/>
        </w:rPr>
        <w:t xml:space="preserve">prior permission of IC </w:t>
      </w:r>
      <w:r>
        <w:rPr>
          <w:rFonts w:ascii="Times New Roman" w:eastAsia="Times New Roman" w:hAnsi="Times New Roman" w:cs="Times New Roman"/>
          <w:b/>
          <w:sz w:val="20"/>
          <w:szCs w:val="20"/>
          <w:u w:val="single"/>
        </w:rPr>
        <w:t>only</w:t>
      </w:r>
      <w:r>
        <w:rPr>
          <w:rFonts w:ascii="Times New Roman" w:eastAsia="Times New Roman" w:hAnsi="Times New Roman" w:cs="Times New Roman"/>
          <w:sz w:val="20"/>
          <w:szCs w:val="20"/>
        </w:rPr>
        <w:t xml:space="preserve">. </w:t>
      </w:r>
    </w:p>
    <w:p w:rsidR="00C32C6A" w:rsidRDefault="006D5DD0">
      <w:pPr>
        <w:numPr>
          <w:ilvl w:val="0"/>
          <w:numId w:val="1"/>
        </w:numPr>
        <w:pBdr>
          <w:top w:val="nil"/>
          <w:left w:val="nil"/>
          <w:bottom w:val="nil"/>
          <w:right w:val="nil"/>
          <w:between w:val="nil"/>
        </w:pBdr>
        <w:ind w:left="284" w:right="414" w:hanging="284"/>
        <w:jc w:val="both"/>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Academic Honesty and Integrity Policy: Academic honesty and integrity are to be maintained by all the students throughout the semester and no type of academic dishonesty is acceptable.</w:t>
      </w:r>
    </w:p>
    <w:p w:rsidR="00C32C6A" w:rsidRDefault="006D5DD0">
      <w:pPr>
        <w:widowControl w:val="0"/>
        <w:spacing w:after="0" w:line="240" w:lineRule="auto"/>
        <w:ind w:left="620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Instructor-in-charge ǀ CHE G641</w:t>
      </w:r>
    </w:p>
    <w:p w:rsidR="00C32C6A" w:rsidRDefault="006D5DD0">
      <w:pPr>
        <w:widowControl w:val="0"/>
        <w:spacing w:after="0" w:line="240" w:lineRule="auto"/>
        <w:ind w:left="6200"/>
        <w:rPr>
          <w:rFonts w:ascii="Times New Roman" w:eastAsia="Times New Roman" w:hAnsi="Times New Roman" w:cs="Times New Roman"/>
          <w:sz w:val="20"/>
          <w:szCs w:val="20"/>
        </w:rPr>
        <w:sectPr w:rsidR="00C32C6A">
          <w:pgSz w:w="11906" w:h="16838"/>
          <w:pgMar w:top="360" w:right="1320" w:bottom="126" w:left="1440" w:header="720" w:footer="720" w:gutter="0"/>
          <w:pgNumType w:start="1"/>
          <w:cols w:space="720"/>
        </w:sectPr>
      </w:pPr>
      <w:proofErr w:type="spellStart"/>
      <w:r>
        <w:rPr>
          <w:rFonts w:ascii="Times New Roman" w:eastAsia="Times New Roman" w:hAnsi="Times New Roman" w:cs="Times New Roman"/>
          <w:sz w:val="20"/>
          <w:szCs w:val="20"/>
        </w:rPr>
        <w:t>Srikanta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Dinda</w:t>
      </w:r>
      <w:proofErr w:type="spellEnd"/>
      <w:r>
        <w:rPr>
          <w:noProof/>
          <w:lang w:val="en-IN"/>
        </w:rPr>
        <w:drawing>
          <wp:anchor distT="0" distB="0" distL="0" distR="0" simplePos="0" relativeHeight="251658240" behindDoc="1" locked="0" layoutInCell="1" hidden="0" allowOverlap="1">
            <wp:simplePos x="0" y="0"/>
            <wp:positionH relativeFrom="column">
              <wp:posOffset>-17779</wp:posOffset>
            </wp:positionH>
            <wp:positionV relativeFrom="paragraph">
              <wp:posOffset>958850</wp:posOffset>
            </wp:positionV>
            <wp:extent cx="5768340" cy="4445"/>
            <wp:effectExtent l="0" t="0" r="0" b="0"/>
            <wp:wrapNone/>
            <wp:docPr id="15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68340" cy="4445"/>
                    </a:xfrm>
                    <a:prstGeom prst="rect">
                      <a:avLst/>
                    </a:prstGeom>
                    <a:ln/>
                  </pic:spPr>
                </pic:pic>
              </a:graphicData>
            </a:graphic>
          </wp:anchor>
        </w:drawing>
      </w:r>
    </w:p>
    <w:p w:rsidR="00C32C6A" w:rsidRDefault="00C32C6A">
      <w:pPr>
        <w:widowControl w:val="0"/>
        <w:spacing w:after="0" w:line="200" w:lineRule="auto"/>
        <w:rPr>
          <w:rFonts w:ascii="Times New Roman" w:eastAsia="Times New Roman" w:hAnsi="Times New Roman" w:cs="Times New Roman"/>
          <w:sz w:val="20"/>
          <w:szCs w:val="20"/>
        </w:rPr>
      </w:pPr>
    </w:p>
    <w:sectPr w:rsidR="00C32C6A">
      <w:type w:val="continuous"/>
      <w:pgSz w:w="11906" w:h="16838"/>
      <w:pgMar w:top="700" w:right="1500" w:bottom="126" w:left="9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403E9"/>
    <w:multiLevelType w:val="multilevel"/>
    <w:tmpl w:val="85E4EA4A"/>
    <w:lvl w:ilvl="0">
      <w:start w:val="1"/>
      <w:numFmt w:val="bullet"/>
      <w:lvlText w:val="•"/>
      <w:lvlJc w:val="left"/>
      <w:pPr>
        <w:ind w:left="1080" w:hanging="72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8F49E4"/>
    <w:multiLevelType w:val="multilevel"/>
    <w:tmpl w:val="E2183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6A"/>
    <w:rsid w:val="006D5DD0"/>
    <w:rsid w:val="007C30D2"/>
    <w:rsid w:val="00C32C6A"/>
    <w:rsid w:val="00EA5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6156"/>
  <w15:docId w15:val="{663EF24B-5D05-45BA-89DA-2400BA0D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
    <w:name w:val="Body Text Indent"/>
    <w:basedOn w:val="Normal"/>
    <w:link w:val="BodyTextIndentChar"/>
    <w:rsid w:val="008C40E2"/>
    <w:pPr>
      <w:spacing w:after="0" w:line="240" w:lineRule="auto"/>
      <w:ind w:left="2880"/>
      <w:jc w:val="both"/>
    </w:pPr>
    <w:rPr>
      <w:rFonts w:ascii="Times New Roman" w:hAnsi="Times New Roman"/>
      <w:sz w:val="24"/>
      <w:szCs w:val="24"/>
    </w:rPr>
  </w:style>
  <w:style w:type="character" w:customStyle="1" w:styleId="BodyTextIndentChar">
    <w:name w:val="Body Text Indent Char"/>
    <w:link w:val="BodyTextIndent"/>
    <w:rsid w:val="008C40E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7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E6D"/>
    <w:rPr>
      <w:rFonts w:ascii="Tahoma" w:hAnsi="Tahoma" w:cs="Tahoma"/>
      <w:sz w:val="16"/>
      <w:szCs w:val="16"/>
    </w:rPr>
  </w:style>
  <w:style w:type="table" w:styleId="TableGrid">
    <w:name w:val="Table Grid"/>
    <w:basedOn w:val="TableNormal"/>
    <w:uiPriority w:val="59"/>
    <w:rsid w:val="000A4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F1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nKH0cjKaV+gdDyjv/Mdz2M6eg==">AMUW2mWFP3M8CxVtLIXTrjMdtnm7rZveYQrocCvXfofR+ROvaJ17VKh0Km6Un668O/ygkCt8CatYLhGXbXNJfNmCvjM9CE1Icp0qYyd/H5VV9H7kaFGjj7jVjABfR6i+900WBgpZD8dW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Faculty-bits</dc:creator>
  <cp:lastModifiedBy>BITS</cp:lastModifiedBy>
  <cp:revision>4</cp:revision>
  <dcterms:created xsi:type="dcterms:W3CDTF">2016-11-29T04:14:00Z</dcterms:created>
  <dcterms:modified xsi:type="dcterms:W3CDTF">2022-01-06T04:55:00Z</dcterms:modified>
</cp:coreProperties>
</file>